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cs="Arial"/>
          <w:kern w:val="0"/>
          <w:sz w:val="32"/>
          <w:szCs w:val="32"/>
        </w:rPr>
      </w:pPr>
    </w:p>
    <w:sdt>
      <w:sdtPr>
        <w:rPr>
          <w:rFonts w:ascii="宋体" w:hAnsi="宋体" w:eastAsia="宋体" w:cs="Times New Roman"/>
          <w:kern w:val="2"/>
          <w:sz w:val="21"/>
          <w:szCs w:val="21"/>
          <w:lang w:val="en-US" w:eastAsia="zh-CN" w:bidi="ar-SA"/>
        </w:rPr>
        <w:id w:val="147477438"/>
        <w15:color w:val="DBDBDB"/>
        <w:docPartObj>
          <w:docPartGallery w:val="Table of Contents"/>
          <w:docPartUnique/>
        </w:docPartObj>
      </w:sdtPr>
      <w:sdtEndPr>
        <w:rPr>
          <w:rFonts w:hint="eastAsia" w:ascii="Calibri" w:hAnsi="Calibri" w:eastAsia="宋体" w:cs="Arial"/>
          <w:kern w:val="0"/>
          <w:sz w:val="36"/>
          <w:szCs w:val="52"/>
          <w:lang w:val="en-US" w:eastAsia="zh-CN" w:bidi="ar-SA"/>
        </w:rPr>
      </w:sdtEndPr>
      <w:sdtContent>
        <w:p>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52"/>
              <w:szCs w:val="52"/>
            </w:rPr>
            <w:t>目</w:t>
          </w:r>
          <w:r>
            <w:rPr>
              <w:rFonts w:hint="eastAsia" w:ascii="宋体" w:hAnsi="宋体"/>
              <w:b/>
              <w:bCs/>
              <w:sz w:val="52"/>
              <w:szCs w:val="52"/>
              <w:lang w:val="en-US" w:eastAsia="zh-CN"/>
            </w:rPr>
            <w:t xml:space="preserve">  </w:t>
          </w:r>
          <w:r>
            <w:rPr>
              <w:rFonts w:ascii="宋体" w:hAnsi="宋体" w:eastAsia="宋体"/>
              <w:b/>
              <w:bCs/>
              <w:sz w:val="52"/>
              <w:szCs w:val="52"/>
            </w:rPr>
            <w:t>录</w:t>
          </w:r>
        </w:p>
        <w:p>
          <w:pPr>
            <w:pStyle w:val="12"/>
            <w:tabs>
              <w:tab w:val="right" w:leader="dot" w:pos="8901"/>
            </w:tabs>
            <w:spacing w:line="480" w:lineRule="auto"/>
            <w:rPr>
              <w:sz w:val="32"/>
              <w:szCs w:val="32"/>
            </w:rPr>
          </w:pPr>
          <w:r>
            <w:rPr>
              <w:rFonts w:hint="eastAsia" w:ascii="Calibri" w:hAnsi="Calibri" w:cs="Arial"/>
              <w:kern w:val="0"/>
              <w:sz w:val="52"/>
              <w:szCs w:val="52"/>
            </w:rPr>
            <w:fldChar w:fldCharType="begin"/>
          </w:r>
          <w:r>
            <w:rPr>
              <w:rFonts w:hint="eastAsia" w:ascii="Calibri" w:hAnsi="Calibri" w:cs="Arial"/>
              <w:kern w:val="0"/>
              <w:sz w:val="52"/>
              <w:szCs w:val="52"/>
            </w:rPr>
            <w:instrText xml:space="preserve">TOC \o "1-1" \h \u </w:instrText>
          </w:r>
          <w:r>
            <w:rPr>
              <w:rFonts w:hint="eastAsia" w:ascii="Calibri" w:hAnsi="Calibri" w:cs="Arial"/>
              <w:kern w:val="0"/>
              <w:sz w:val="52"/>
              <w:szCs w:val="52"/>
            </w:rPr>
            <w:fldChar w:fldCharType="separate"/>
          </w:r>
        </w:p>
        <w:p>
          <w:pPr>
            <w:pStyle w:val="12"/>
            <w:tabs>
              <w:tab w:val="right" w:leader="dot" w:pos="8901"/>
            </w:tabs>
            <w:spacing w:line="480" w:lineRule="auto"/>
            <w:rPr>
              <w:sz w:val="32"/>
              <w:szCs w:val="32"/>
            </w:rPr>
          </w:pPr>
          <w:r>
            <w:rPr>
              <w:rFonts w:hint="eastAsia" w:ascii="Calibri" w:hAnsi="Calibri" w:cs="Arial"/>
              <w:kern w:val="0"/>
              <w:sz w:val="32"/>
              <w:szCs w:val="52"/>
            </w:rPr>
            <w:fldChar w:fldCharType="begin"/>
          </w:r>
          <w:r>
            <w:rPr>
              <w:rFonts w:hint="eastAsia" w:ascii="Calibri" w:hAnsi="Calibri" w:cs="Arial"/>
              <w:kern w:val="0"/>
              <w:sz w:val="32"/>
              <w:szCs w:val="52"/>
            </w:rPr>
            <w:instrText xml:space="preserve"> HYPERLINK \l _Toc26653 </w:instrText>
          </w:r>
          <w:r>
            <w:rPr>
              <w:rFonts w:hint="eastAsia" w:ascii="Calibri" w:hAnsi="Calibri" w:cs="Arial"/>
              <w:kern w:val="0"/>
              <w:sz w:val="32"/>
              <w:szCs w:val="52"/>
            </w:rPr>
            <w:fldChar w:fldCharType="separate"/>
          </w:r>
          <w:r>
            <w:rPr>
              <w:rFonts w:hint="eastAsia" w:ascii="黑体" w:hAnsi="黑体" w:eastAsia="黑体" w:cs="Arial"/>
              <w:bCs/>
              <w:sz w:val="32"/>
              <w:szCs w:val="96"/>
            </w:rPr>
            <w:t>《电动汽车检查与维护》一体化</w:t>
          </w:r>
          <w:r>
            <w:rPr>
              <w:rFonts w:hint="eastAsia" w:ascii="黑体" w:hAnsi="黑体" w:eastAsia="黑体" w:cs="Arial"/>
              <w:sz w:val="32"/>
              <w:szCs w:val="96"/>
            </w:rPr>
            <w:t>课程标准</w:t>
          </w:r>
          <w:r>
            <w:rPr>
              <w:sz w:val="32"/>
              <w:szCs w:val="32"/>
            </w:rPr>
            <w:tab/>
          </w:r>
          <w:r>
            <w:rPr>
              <w:sz w:val="32"/>
              <w:szCs w:val="32"/>
            </w:rPr>
            <w:fldChar w:fldCharType="begin"/>
          </w:r>
          <w:r>
            <w:rPr>
              <w:sz w:val="32"/>
              <w:szCs w:val="32"/>
            </w:rPr>
            <w:instrText xml:space="preserve"> PAGEREF _Toc26653 \h </w:instrText>
          </w:r>
          <w:r>
            <w:rPr>
              <w:sz w:val="32"/>
              <w:szCs w:val="32"/>
            </w:rPr>
            <w:fldChar w:fldCharType="separate"/>
          </w:r>
          <w:r>
            <w:rPr>
              <w:sz w:val="32"/>
              <w:szCs w:val="32"/>
            </w:rPr>
            <w:t>2</w:t>
          </w:r>
          <w:r>
            <w:rPr>
              <w:sz w:val="32"/>
              <w:szCs w:val="32"/>
            </w:rPr>
            <w:fldChar w:fldCharType="end"/>
          </w:r>
          <w:r>
            <w:rPr>
              <w:rFonts w:hint="eastAsia" w:ascii="Calibri" w:hAnsi="Calibri" w:cs="Arial"/>
              <w:kern w:val="0"/>
              <w:sz w:val="32"/>
              <w:szCs w:val="52"/>
            </w:rPr>
            <w:fldChar w:fldCharType="end"/>
          </w:r>
        </w:p>
        <w:p>
          <w:pPr>
            <w:pStyle w:val="12"/>
            <w:tabs>
              <w:tab w:val="right" w:leader="dot" w:pos="8901"/>
            </w:tabs>
            <w:spacing w:line="480" w:lineRule="auto"/>
            <w:rPr>
              <w:sz w:val="32"/>
              <w:szCs w:val="32"/>
            </w:rPr>
          </w:pPr>
          <w:r>
            <w:rPr>
              <w:rFonts w:hint="eastAsia" w:ascii="Calibri" w:hAnsi="Calibri" w:cs="Arial"/>
              <w:kern w:val="0"/>
              <w:sz w:val="32"/>
              <w:szCs w:val="52"/>
            </w:rPr>
            <w:fldChar w:fldCharType="begin"/>
          </w:r>
          <w:r>
            <w:rPr>
              <w:rFonts w:hint="eastAsia" w:ascii="Calibri" w:hAnsi="Calibri" w:cs="Arial"/>
              <w:kern w:val="0"/>
              <w:sz w:val="32"/>
              <w:szCs w:val="52"/>
            </w:rPr>
            <w:instrText xml:space="preserve"> HYPERLINK \l _Toc16884 </w:instrText>
          </w:r>
          <w:r>
            <w:rPr>
              <w:rFonts w:hint="eastAsia" w:ascii="Calibri" w:hAnsi="Calibri" w:cs="Arial"/>
              <w:kern w:val="0"/>
              <w:sz w:val="32"/>
              <w:szCs w:val="52"/>
            </w:rPr>
            <w:fldChar w:fldCharType="separate"/>
          </w:r>
          <w:r>
            <w:rPr>
              <w:rFonts w:hint="eastAsia" w:ascii="黑体" w:hAnsi="黑体" w:eastAsia="黑体" w:cs="Arial"/>
              <w:bCs/>
              <w:sz w:val="32"/>
              <w:szCs w:val="96"/>
            </w:rPr>
            <w:t>《电动汽车</w:t>
          </w:r>
          <w:r>
            <w:rPr>
              <w:rFonts w:hint="eastAsia" w:ascii="黑体" w:hAnsi="黑体" w:eastAsia="黑体" w:cs="Arial"/>
              <w:bCs/>
              <w:sz w:val="32"/>
              <w:szCs w:val="96"/>
              <w:lang w:eastAsia="zh-CN"/>
            </w:rPr>
            <w:t>结</w:t>
          </w:r>
          <w:r>
            <w:rPr>
              <w:rFonts w:hint="eastAsia" w:ascii="黑体" w:hAnsi="黑体" w:eastAsia="黑体" w:cs="Arial"/>
              <w:bCs/>
              <w:sz w:val="32"/>
              <w:szCs w:val="96"/>
            </w:rPr>
            <w:t>构</w:t>
          </w:r>
          <w:r>
            <w:rPr>
              <w:rFonts w:hint="eastAsia" w:ascii="黑体" w:hAnsi="黑体" w:eastAsia="黑体" w:cs="Arial"/>
              <w:bCs/>
              <w:sz w:val="32"/>
              <w:szCs w:val="96"/>
              <w:lang w:eastAsia="zh-CN"/>
            </w:rPr>
            <w:t>原理</w:t>
          </w:r>
          <w:r>
            <w:rPr>
              <w:rFonts w:hint="eastAsia" w:ascii="黑体" w:hAnsi="黑体" w:eastAsia="黑体" w:cs="Arial"/>
              <w:bCs/>
              <w:sz w:val="32"/>
              <w:szCs w:val="96"/>
            </w:rPr>
            <w:t>与</w:t>
          </w:r>
          <w:r>
            <w:rPr>
              <w:rFonts w:hint="eastAsia" w:ascii="黑体" w:hAnsi="黑体" w:eastAsia="黑体" w:cs="Arial"/>
              <w:bCs/>
              <w:sz w:val="32"/>
              <w:szCs w:val="96"/>
              <w:lang w:eastAsia="zh-CN"/>
            </w:rPr>
            <w:t>检</w:t>
          </w:r>
          <w:r>
            <w:rPr>
              <w:rFonts w:hint="eastAsia" w:ascii="黑体" w:hAnsi="黑体" w:eastAsia="黑体" w:cs="Arial"/>
              <w:bCs/>
              <w:sz w:val="32"/>
              <w:szCs w:val="96"/>
            </w:rPr>
            <w:t>修》一体化</w:t>
          </w:r>
          <w:r>
            <w:rPr>
              <w:rFonts w:hint="eastAsia" w:ascii="黑体" w:hAnsi="黑体" w:eastAsia="黑体" w:cs="Arial"/>
              <w:sz w:val="32"/>
              <w:szCs w:val="96"/>
            </w:rPr>
            <w:t>课程标准</w:t>
          </w:r>
          <w:r>
            <w:rPr>
              <w:sz w:val="32"/>
              <w:szCs w:val="32"/>
            </w:rPr>
            <w:tab/>
          </w:r>
          <w:r>
            <w:rPr>
              <w:sz w:val="32"/>
              <w:szCs w:val="32"/>
            </w:rPr>
            <w:fldChar w:fldCharType="begin"/>
          </w:r>
          <w:r>
            <w:rPr>
              <w:sz w:val="32"/>
              <w:szCs w:val="32"/>
            </w:rPr>
            <w:instrText xml:space="preserve"> PAGEREF _Toc16884 \h </w:instrText>
          </w:r>
          <w:r>
            <w:rPr>
              <w:sz w:val="32"/>
              <w:szCs w:val="32"/>
            </w:rPr>
            <w:fldChar w:fldCharType="separate"/>
          </w:r>
          <w:r>
            <w:rPr>
              <w:sz w:val="32"/>
              <w:szCs w:val="32"/>
            </w:rPr>
            <w:t>14</w:t>
          </w:r>
          <w:r>
            <w:rPr>
              <w:sz w:val="32"/>
              <w:szCs w:val="32"/>
            </w:rPr>
            <w:fldChar w:fldCharType="end"/>
          </w:r>
          <w:r>
            <w:rPr>
              <w:rFonts w:hint="eastAsia" w:ascii="Calibri" w:hAnsi="Calibri" w:cs="Arial"/>
              <w:kern w:val="0"/>
              <w:sz w:val="32"/>
              <w:szCs w:val="52"/>
            </w:rPr>
            <w:fldChar w:fldCharType="end"/>
          </w:r>
        </w:p>
        <w:p>
          <w:pPr>
            <w:pStyle w:val="12"/>
            <w:tabs>
              <w:tab w:val="right" w:leader="dot" w:pos="8901"/>
            </w:tabs>
            <w:spacing w:line="480" w:lineRule="auto"/>
            <w:rPr>
              <w:sz w:val="32"/>
              <w:szCs w:val="32"/>
            </w:rPr>
          </w:pPr>
          <w:r>
            <w:rPr>
              <w:rFonts w:hint="eastAsia" w:ascii="Calibri" w:hAnsi="Calibri" w:cs="Arial"/>
              <w:kern w:val="0"/>
              <w:sz w:val="32"/>
              <w:szCs w:val="52"/>
            </w:rPr>
            <w:fldChar w:fldCharType="begin"/>
          </w:r>
          <w:r>
            <w:rPr>
              <w:rFonts w:hint="eastAsia" w:ascii="Calibri" w:hAnsi="Calibri" w:cs="Arial"/>
              <w:kern w:val="0"/>
              <w:sz w:val="32"/>
              <w:szCs w:val="52"/>
            </w:rPr>
            <w:instrText xml:space="preserve"> HYPERLINK \l _Toc15938 </w:instrText>
          </w:r>
          <w:r>
            <w:rPr>
              <w:rFonts w:hint="eastAsia" w:ascii="Calibri" w:hAnsi="Calibri" w:cs="Arial"/>
              <w:kern w:val="0"/>
              <w:sz w:val="32"/>
              <w:szCs w:val="52"/>
            </w:rPr>
            <w:fldChar w:fldCharType="separate"/>
          </w:r>
          <w:r>
            <w:rPr>
              <w:rFonts w:hint="eastAsia" w:ascii="黑体" w:hAnsi="黑体" w:eastAsia="黑体" w:cs="Arial"/>
              <w:bCs/>
              <w:sz w:val="32"/>
              <w:szCs w:val="96"/>
            </w:rPr>
            <w:t>《</w:t>
          </w:r>
          <w:r>
            <w:rPr>
              <w:rFonts w:hint="eastAsia" w:ascii="黑体" w:hAnsi="黑体" w:eastAsia="黑体" w:cs="Arial"/>
              <w:bCs/>
              <w:sz w:val="32"/>
              <w:szCs w:val="96"/>
              <w:lang w:val="en-US" w:eastAsia="zh-CN"/>
            </w:rPr>
            <w:t>新能源汽车电学基础及高压安全</w:t>
          </w:r>
          <w:r>
            <w:rPr>
              <w:rFonts w:hint="eastAsia" w:ascii="黑体" w:hAnsi="黑体" w:eastAsia="黑体" w:cs="Arial"/>
              <w:bCs/>
              <w:sz w:val="32"/>
              <w:szCs w:val="96"/>
            </w:rPr>
            <w:t>》</w:t>
          </w:r>
          <w:r>
            <w:rPr>
              <w:rFonts w:hint="eastAsia" w:ascii="黑体" w:hAnsi="黑体" w:eastAsia="黑体" w:cs="Arial"/>
              <w:sz w:val="32"/>
              <w:szCs w:val="96"/>
            </w:rPr>
            <w:t>课程标准</w:t>
          </w:r>
          <w:r>
            <w:rPr>
              <w:sz w:val="32"/>
              <w:szCs w:val="32"/>
            </w:rPr>
            <w:tab/>
          </w:r>
          <w:r>
            <w:rPr>
              <w:sz w:val="32"/>
              <w:szCs w:val="32"/>
            </w:rPr>
            <w:fldChar w:fldCharType="begin"/>
          </w:r>
          <w:r>
            <w:rPr>
              <w:sz w:val="32"/>
              <w:szCs w:val="32"/>
            </w:rPr>
            <w:instrText xml:space="preserve"> PAGEREF _Toc15938 \h </w:instrText>
          </w:r>
          <w:r>
            <w:rPr>
              <w:sz w:val="32"/>
              <w:szCs w:val="32"/>
            </w:rPr>
            <w:fldChar w:fldCharType="separate"/>
          </w:r>
          <w:r>
            <w:rPr>
              <w:sz w:val="32"/>
              <w:szCs w:val="32"/>
            </w:rPr>
            <w:t>20</w:t>
          </w:r>
          <w:r>
            <w:rPr>
              <w:sz w:val="32"/>
              <w:szCs w:val="32"/>
            </w:rPr>
            <w:fldChar w:fldCharType="end"/>
          </w:r>
          <w:r>
            <w:rPr>
              <w:rFonts w:hint="eastAsia" w:ascii="Calibri" w:hAnsi="Calibri" w:cs="Arial"/>
              <w:kern w:val="0"/>
              <w:sz w:val="32"/>
              <w:szCs w:val="52"/>
            </w:rPr>
            <w:fldChar w:fldCharType="end"/>
          </w:r>
        </w:p>
        <w:p>
          <w:pPr>
            <w:pStyle w:val="12"/>
            <w:tabs>
              <w:tab w:val="right" w:leader="dot" w:pos="8901"/>
            </w:tabs>
            <w:spacing w:line="480" w:lineRule="auto"/>
            <w:rPr>
              <w:sz w:val="32"/>
              <w:szCs w:val="32"/>
            </w:rPr>
          </w:pPr>
          <w:r>
            <w:rPr>
              <w:rFonts w:hint="eastAsia" w:ascii="Calibri" w:hAnsi="Calibri" w:cs="Arial"/>
              <w:kern w:val="0"/>
              <w:sz w:val="32"/>
              <w:szCs w:val="52"/>
            </w:rPr>
            <w:fldChar w:fldCharType="begin"/>
          </w:r>
          <w:r>
            <w:rPr>
              <w:rFonts w:hint="eastAsia" w:ascii="Calibri" w:hAnsi="Calibri" w:cs="Arial"/>
              <w:kern w:val="0"/>
              <w:sz w:val="32"/>
              <w:szCs w:val="52"/>
            </w:rPr>
            <w:instrText xml:space="preserve"> HYPERLINK \l _Toc31482 </w:instrText>
          </w:r>
          <w:r>
            <w:rPr>
              <w:rFonts w:hint="eastAsia" w:ascii="Calibri" w:hAnsi="Calibri" w:cs="Arial"/>
              <w:kern w:val="0"/>
              <w:sz w:val="32"/>
              <w:szCs w:val="52"/>
            </w:rPr>
            <w:fldChar w:fldCharType="separate"/>
          </w:r>
          <w:r>
            <w:rPr>
              <w:rFonts w:hint="eastAsia" w:ascii="方正小标宋简体" w:hAnsi="宋体" w:eastAsia="方正小标宋简体" w:cs="Times New Roman"/>
              <w:sz w:val="32"/>
              <w:szCs w:val="96"/>
            </w:rPr>
            <w:t>《</w:t>
          </w:r>
          <w:r>
            <w:rPr>
              <w:rFonts w:hint="eastAsia" w:ascii="方正小标宋简体" w:hAnsi="宋体" w:eastAsia="方正小标宋简体" w:cs="Times New Roman"/>
              <w:sz w:val="32"/>
              <w:szCs w:val="96"/>
              <w:lang w:eastAsia="zh-CN"/>
            </w:rPr>
            <w:t>新能源汽车概述</w:t>
          </w:r>
          <w:r>
            <w:rPr>
              <w:rFonts w:hint="eastAsia" w:ascii="方正小标宋简体" w:hAnsi="宋体" w:eastAsia="方正小标宋简体" w:cs="Times New Roman"/>
              <w:sz w:val="32"/>
              <w:szCs w:val="96"/>
            </w:rPr>
            <w:t>》课程标准</w:t>
          </w:r>
          <w:r>
            <w:rPr>
              <w:sz w:val="32"/>
              <w:szCs w:val="32"/>
            </w:rPr>
            <w:tab/>
          </w:r>
          <w:r>
            <w:rPr>
              <w:sz w:val="32"/>
              <w:szCs w:val="32"/>
            </w:rPr>
            <w:fldChar w:fldCharType="begin"/>
          </w:r>
          <w:r>
            <w:rPr>
              <w:sz w:val="32"/>
              <w:szCs w:val="32"/>
            </w:rPr>
            <w:instrText xml:space="preserve"> PAGEREF _Toc31482 \h </w:instrText>
          </w:r>
          <w:r>
            <w:rPr>
              <w:sz w:val="32"/>
              <w:szCs w:val="32"/>
            </w:rPr>
            <w:fldChar w:fldCharType="separate"/>
          </w:r>
          <w:r>
            <w:rPr>
              <w:sz w:val="32"/>
              <w:szCs w:val="32"/>
            </w:rPr>
            <w:t>29</w:t>
          </w:r>
          <w:r>
            <w:rPr>
              <w:sz w:val="32"/>
              <w:szCs w:val="32"/>
            </w:rPr>
            <w:fldChar w:fldCharType="end"/>
          </w:r>
          <w:r>
            <w:rPr>
              <w:rFonts w:hint="eastAsia" w:ascii="Calibri" w:hAnsi="Calibri" w:cs="Arial"/>
              <w:kern w:val="0"/>
              <w:sz w:val="32"/>
              <w:szCs w:val="52"/>
            </w:rPr>
            <w:fldChar w:fldCharType="end"/>
          </w:r>
        </w:p>
        <w:p>
          <w:pPr>
            <w:pStyle w:val="12"/>
            <w:tabs>
              <w:tab w:val="right" w:leader="dot" w:pos="8901"/>
            </w:tabs>
            <w:spacing w:line="480" w:lineRule="auto"/>
            <w:rPr>
              <w:sz w:val="32"/>
              <w:szCs w:val="32"/>
            </w:rPr>
          </w:pPr>
          <w:r>
            <w:rPr>
              <w:rFonts w:hint="eastAsia" w:ascii="Calibri" w:hAnsi="Calibri" w:cs="Arial"/>
              <w:kern w:val="0"/>
              <w:sz w:val="32"/>
              <w:szCs w:val="52"/>
            </w:rPr>
            <w:fldChar w:fldCharType="begin"/>
          </w:r>
          <w:r>
            <w:rPr>
              <w:rFonts w:hint="eastAsia" w:ascii="Calibri" w:hAnsi="Calibri" w:cs="Arial"/>
              <w:kern w:val="0"/>
              <w:sz w:val="32"/>
              <w:szCs w:val="52"/>
            </w:rPr>
            <w:instrText xml:space="preserve"> HYPERLINK \l _Toc3848 </w:instrText>
          </w:r>
          <w:r>
            <w:rPr>
              <w:rFonts w:hint="eastAsia" w:ascii="Calibri" w:hAnsi="Calibri" w:cs="Arial"/>
              <w:kern w:val="0"/>
              <w:sz w:val="32"/>
              <w:szCs w:val="52"/>
            </w:rPr>
            <w:fldChar w:fldCharType="separate"/>
          </w:r>
          <w:r>
            <w:rPr>
              <w:rFonts w:hint="eastAsia" w:ascii="黑体" w:hAnsi="黑体" w:eastAsia="黑体" w:cs="Arial"/>
              <w:bCs/>
              <w:sz w:val="32"/>
              <w:szCs w:val="96"/>
            </w:rPr>
            <w:t>《</w:t>
          </w:r>
          <w:r>
            <w:rPr>
              <w:rFonts w:hint="eastAsia" w:ascii="黑体" w:hAnsi="黑体" w:eastAsia="黑体" w:cs="Arial"/>
              <w:bCs/>
              <w:sz w:val="32"/>
              <w:szCs w:val="96"/>
              <w:lang w:eastAsia="zh-CN"/>
            </w:rPr>
            <w:t>新能源汽车故障诊断</w:t>
          </w:r>
          <w:r>
            <w:rPr>
              <w:rFonts w:hint="eastAsia" w:ascii="黑体" w:hAnsi="黑体" w:eastAsia="黑体" w:cs="Arial"/>
              <w:bCs/>
              <w:sz w:val="32"/>
              <w:szCs w:val="96"/>
            </w:rPr>
            <w:t>》一体化</w:t>
          </w:r>
          <w:r>
            <w:rPr>
              <w:rFonts w:hint="eastAsia" w:ascii="黑体" w:hAnsi="黑体" w:eastAsia="黑体" w:cs="Arial"/>
              <w:sz w:val="32"/>
              <w:szCs w:val="96"/>
            </w:rPr>
            <w:t>课程标准</w:t>
          </w:r>
          <w:r>
            <w:rPr>
              <w:sz w:val="32"/>
              <w:szCs w:val="32"/>
            </w:rPr>
            <w:tab/>
          </w:r>
          <w:r>
            <w:rPr>
              <w:sz w:val="32"/>
              <w:szCs w:val="32"/>
            </w:rPr>
            <w:fldChar w:fldCharType="begin"/>
          </w:r>
          <w:r>
            <w:rPr>
              <w:sz w:val="32"/>
              <w:szCs w:val="32"/>
            </w:rPr>
            <w:instrText xml:space="preserve"> PAGEREF _Toc3848 \h </w:instrText>
          </w:r>
          <w:r>
            <w:rPr>
              <w:sz w:val="32"/>
              <w:szCs w:val="32"/>
            </w:rPr>
            <w:fldChar w:fldCharType="separate"/>
          </w:r>
          <w:r>
            <w:rPr>
              <w:sz w:val="32"/>
              <w:szCs w:val="32"/>
            </w:rPr>
            <w:t>36</w:t>
          </w:r>
          <w:r>
            <w:rPr>
              <w:sz w:val="32"/>
              <w:szCs w:val="32"/>
            </w:rPr>
            <w:fldChar w:fldCharType="end"/>
          </w:r>
          <w:r>
            <w:rPr>
              <w:rFonts w:hint="eastAsia" w:ascii="Calibri" w:hAnsi="Calibri" w:cs="Arial"/>
              <w:kern w:val="0"/>
              <w:sz w:val="32"/>
              <w:szCs w:val="52"/>
            </w:rPr>
            <w:fldChar w:fldCharType="end"/>
          </w:r>
        </w:p>
        <w:p>
          <w:pPr>
            <w:spacing w:line="480" w:lineRule="auto"/>
            <w:jc w:val="center"/>
            <w:rPr>
              <w:rFonts w:hint="eastAsia" w:ascii="Calibri" w:hAnsi="Calibri" w:cs="Arial"/>
              <w:kern w:val="0"/>
              <w:sz w:val="52"/>
              <w:szCs w:val="52"/>
            </w:rPr>
          </w:pPr>
          <w:r>
            <w:rPr>
              <w:rFonts w:hint="eastAsia" w:ascii="Calibri" w:hAnsi="Calibri" w:cs="Arial"/>
              <w:kern w:val="0"/>
              <w:sz w:val="36"/>
              <w:szCs w:val="52"/>
            </w:rPr>
            <w:fldChar w:fldCharType="end"/>
          </w:r>
        </w:p>
      </w:sdtContent>
    </w:sdt>
    <w:p>
      <w:pPr>
        <w:spacing w:line="480" w:lineRule="auto"/>
        <w:jc w:val="center"/>
        <w:rPr>
          <w:rFonts w:hint="eastAsia" w:ascii="Calibri" w:hAnsi="Calibri" w:cs="Arial"/>
          <w:kern w:val="0"/>
          <w:sz w:val="52"/>
          <w:szCs w:val="52"/>
        </w:rPr>
      </w:pPr>
    </w:p>
    <w:p>
      <w:pPr>
        <w:jc w:val="center"/>
        <w:rPr>
          <w:rFonts w:hint="eastAsia" w:ascii="Calibri" w:hAnsi="Calibri" w:cs="Arial"/>
          <w:kern w:val="0"/>
          <w:sz w:val="32"/>
          <w:szCs w:val="32"/>
        </w:rPr>
      </w:pPr>
    </w:p>
    <w:p>
      <w:pPr>
        <w:jc w:val="center"/>
        <w:rPr>
          <w:rFonts w:hint="eastAsia" w:ascii="Calibri" w:hAnsi="Calibri" w:cs="Arial"/>
          <w:kern w:val="0"/>
          <w:sz w:val="32"/>
          <w:szCs w:val="32"/>
        </w:rPr>
      </w:pPr>
    </w:p>
    <w:p>
      <w:pPr>
        <w:jc w:val="center"/>
        <w:rPr>
          <w:rFonts w:hint="eastAsia" w:ascii="Calibri" w:hAnsi="Calibri" w:cs="Arial"/>
          <w:kern w:val="0"/>
          <w:sz w:val="32"/>
          <w:szCs w:val="32"/>
        </w:rPr>
      </w:pPr>
    </w:p>
    <w:p>
      <w:pPr>
        <w:jc w:val="center"/>
        <w:rPr>
          <w:rFonts w:hint="eastAsia" w:ascii="Calibri" w:hAnsi="Calibri" w:cs="Arial"/>
          <w:kern w:val="0"/>
          <w:sz w:val="32"/>
          <w:szCs w:val="32"/>
        </w:rPr>
      </w:pPr>
    </w:p>
    <w:p>
      <w:pPr>
        <w:jc w:val="center"/>
        <w:rPr>
          <w:rFonts w:hint="eastAsia" w:ascii="Calibri" w:hAnsi="Calibri" w:cs="Arial"/>
          <w:kern w:val="0"/>
          <w:sz w:val="32"/>
          <w:szCs w:val="32"/>
        </w:rPr>
      </w:pPr>
    </w:p>
    <w:p>
      <w:pPr>
        <w:jc w:val="center"/>
        <w:rPr>
          <w:rFonts w:hint="eastAsia" w:ascii="Calibri" w:hAnsi="Calibri" w:cs="Arial"/>
          <w:kern w:val="0"/>
          <w:sz w:val="32"/>
          <w:szCs w:val="32"/>
        </w:rPr>
      </w:pPr>
    </w:p>
    <w:p>
      <w:pPr>
        <w:jc w:val="center"/>
        <w:rPr>
          <w:rFonts w:hint="eastAsia" w:ascii="Calibri" w:hAnsi="Calibri" w:cs="Arial"/>
          <w:kern w:val="0"/>
          <w:sz w:val="32"/>
          <w:szCs w:val="32"/>
        </w:rPr>
      </w:pPr>
    </w:p>
    <w:p>
      <w:pPr>
        <w:jc w:val="center"/>
        <w:rPr>
          <w:rFonts w:hint="eastAsia" w:ascii="Calibri" w:hAnsi="Calibri" w:cs="Arial"/>
          <w:kern w:val="0"/>
          <w:sz w:val="32"/>
          <w:szCs w:val="32"/>
        </w:rPr>
      </w:pPr>
    </w:p>
    <w:p>
      <w:pPr>
        <w:jc w:val="center"/>
        <w:rPr>
          <w:rFonts w:hint="eastAsia" w:ascii="Calibri" w:hAnsi="Calibri" w:cs="Arial"/>
          <w:kern w:val="0"/>
          <w:sz w:val="32"/>
          <w:szCs w:val="32"/>
        </w:rPr>
      </w:pPr>
    </w:p>
    <w:p>
      <w:pPr>
        <w:jc w:val="center"/>
        <w:rPr>
          <w:rFonts w:hint="eastAsia" w:ascii="Calibri" w:hAnsi="Calibri" w:cs="Arial"/>
          <w:kern w:val="0"/>
          <w:sz w:val="32"/>
          <w:szCs w:val="32"/>
        </w:rPr>
      </w:pPr>
    </w:p>
    <w:p>
      <w:pPr>
        <w:jc w:val="center"/>
        <w:rPr>
          <w:rFonts w:hint="eastAsia" w:ascii="Calibri" w:hAnsi="Calibri" w:cs="Arial"/>
          <w:kern w:val="0"/>
          <w:sz w:val="32"/>
          <w:szCs w:val="32"/>
        </w:rPr>
      </w:pPr>
    </w:p>
    <w:p>
      <w:pPr>
        <w:jc w:val="center"/>
        <w:rPr>
          <w:rFonts w:hint="eastAsia" w:ascii="Calibri" w:hAnsi="Calibri" w:cs="Arial"/>
          <w:kern w:val="0"/>
          <w:sz w:val="32"/>
          <w:szCs w:val="32"/>
        </w:rPr>
      </w:pPr>
    </w:p>
    <w:p>
      <w:pPr>
        <w:jc w:val="center"/>
        <w:rPr>
          <w:rFonts w:hint="eastAsia" w:ascii="Calibri" w:hAnsi="Calibri" w:cs="Arial"/>
          <w:kern w:val="0"/>
          <w:sz w:val="32"/>
          <w:szCs w:val="32"/>
        </w:rPr>
      </w:pPr>
    </w:p>
    <w:p>
      <w:pPr>
        <w:jc w:val="center"/>
        <w:rPr>
          <w:rFonts w:ascii="Calibri" w:hAnsi="Calibri" w:cs="Arial"/>
          <w:kern w:val="0"/>
          <w:sz w:val="32"/>
          <w:szCs w:val="32"/>
        </w:rPr>
      </w:pPr>
      <w:bookmarkStart w:id="57" w:name="_GoBack"/>
      <w:bookmarkEnd w:id="57"/>
    </w:p>
    <w:p>
      <w:pPr>
        <w:jc w:val="center"/>
        <w:rPr>
          <w:rFonts w:ascii="Calibri" w:hAnsi="Calibri" w:cs="Arial"/>
          <w:kern w:val="0"/>
          <w:sz w:val="32"/>
          <w:szCs w:val="32"/>
        </w:rPr>
      </w:pPr>
    </w:p>
    <w:p>
      <w:pPr>
        <w:jc w:val="center"/>
        <w:rPr>
          <w:rFonts w:hint="eastAsia" w:ascii="Calibri" w:hAnsi="Calibri" w:cs="Arial"/>
          <w:kern w:val="0"/>
          <w:sz w:val="32"/>
          <w:szCs w:val="32"/>
        </w:rPr>
      </w:pPr>
    </w:p>
    <w:p>
      <w:pPr>
        <w:jc w:val="center"/>
        <w:rPr>
          <w:rFonts w:ascii="Calibri" w:hAnsi="Calibri" w:cs="Arial"/>
          <w:sz w:val="36"/>
          <w:szCs w:val="36"/>
        </w:rPr>
      </w:pPr>
      <w:r>
        <w:rPr>
          <w:rFonts w:ascii="Calibri" w:hAnsi="Calibri" w:cs="Arial"/>
          <w:sz w:val="36"/>
          <w:szCs w:val="36"/>
        </w:rPr>
        <w:drawing>
          <wp:inline distT="0" distB="0" distL="114300" distR="114300">
            <wp:extent cx="4251325" cy="889635"/>
            <wp:effectExtent l="0" t="0" r="15875"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Rot="1" noChangeAspect="1"/>
                    </pic:cNvPicPr>
                  </pic:nvPicPr>
                  <pic:blipFill>
                    <a:blip r:embed="rId9"/>
                    <a:stretch>
                      <a:fillRect/>
                    </a:stretch>
                  </pic:blipFill>
                  <pic:spPr>
                    <a:xfrm>
                      <a:off x="0" y="0"/>
                      <a:ext cx="4251325" cy="889635"/>
                    </a:xfrm>
                    <a:prstGeom prst="rect">
                      <a:avLst/>
                    </a:prstGeom>
                    <a:noFill/>
                    <a:ln>
                      <a:noFill/>
                    </a:ln>
                  </pic:spPr>
                </pic:pic>
              </a:graphicData>
            </a:graphic>
          </wp:inline>
        </w:drawing>
      </w:r>
      <w:r>
        <w:rPr>
          <w:rFonts w:ascii="Calibri" w:hAnsi="Calibri" w:cs="Arial"/>
          <w:sz w:val="36"/>
          <w:szCs w:val="36"/>
        </w:rPr>
        <w:t xml:space="preserve"> </w:t>
      </w:r>
    </w:p>
    <w:p>
      <w:pPr>
        <w:jc w:val="center"/>
        <w:rPr>
          <w:rFonts w:hint="eastAsia" w:ascii="Calibri" w:hAnsi="Calibri" w:cs="Arial"/>
          <w:sz w:val="36"/>
          <w:szCs w:val="36"/>
        </w:rPr>
      </w:pPr>
    </w:p>
    <w:p>
      <w:pPr>
        <w:jc w:val="center"/>
        <w:outlineLvl w:val="0"/>
        <w:rPr>
          <w:rFonts w:hint="eastAsia" w:ascii="黑体" w:hAnsi="黑体" w:eastAsia="黑体" w:cs="Arial"/>
          <w:b/>
          <w:bCs/>
          <w:sz w:val="44"/>
          <w:szCs w:val="44"/>
        </w:rPr>
      </w:pPr>
      <w:bookmarkStart w:id="0" w:name="_Toc31254"/>
      <w:r>
        <w:rPr>
          <w:rFonts w:hint="eastAsia" w:ascii="黑体" w:hAnsi="黑体" w:eastAsia="黑体" w:cs="Arial"/>
          <w:b/>
          <w:bCs/>
          <w:sz w:val="44"/>
          <w:szCs w:val="44"/>
        </w:rPr>
        <w:t>新能源汽车检测与维修专业</w:t>
      </w:r>
      <w:bookmarkEnd w:id="0"/>
    </w:p>
    <w:p>
      <w:pPr>
        <w:jc w:val="center"/>
        <w:outlineLvl w:val="0"/>
        <w:rPr>
          <w:rFonts w:ascii="黑体" w:hAnsi="黑体" w:eastAsia="黑体" w:cs="Arial"/>
          <w:b/>
          <w:sz w:val="44"/>
          <w:szCs w:val="44"/>
        </w:rPr>
      </w:pPr>
      <w:bookmarkStart w:id="1" w:name="_Toc26653"/>
      <w:r>
        <w:rPr>
          <w:rFonts w:hint="eastAsia" w:ascii="黑体" w:hAnsi="黑体" w:eastAsia="黑体" w:cs="Arial"/>
          <w:b/>
          <w:bCs/>
          <w:sz w:val="44"/>
          <w:szCs w:val="44"/>
        </w:rPr>
        <w:t>《电动汽车检查与维护》一体化</w:t>
      </w:r>
      <w:r>
        <w:rPr>
          <w:rFonts w:hint="eastAsia" w:ascii="黑体" w:hAnsi="黑体" w:eastAsia="黑体" w:cs="Arial"/>
          <w:b/>
          <w:sz w:val="44"/>
          <w:szCs w:val="44"/>
        </w:rPr>
        <w:t>课程标准</w:t>
      </w:r>
      <w:bookmarkEnd w:id="1"/>
    </w:p>
    <w:p>
      <w:pPr>
        <w:jc w:val="center"/>
        <w:rPr>
          <w:rFonts w:ascii="黑体" w:hAnsi="黑体" w:eastAsia="黑体" w:cs="Arial"/>
          <w:sz w:val="44"/>
          <w:szCs w:val="44"/>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pStyle w:val="2"/>
        <w:spacing w:before="0" w:after="0" w:line="360" w:lineRule="auto"/>
        <w:jc w:val="center"/>
        <w:rPr>
          <w:rFonts w:hint="eastAsia" w:ascii="方正小标宋简体" w:eastAsia="方正小标宋简体"/>
          <w:b/>
          <w:sz w:val="44"/>
          <w:szCs w:val="36"/>
        </w:rPr>
      </w:pPr>
      <w:bookmarkStart w:id="2" w:name="_Toc17904"/>
      <w:bookmarkStart w:id="3" w:name="_Toc13318"/>
      <w:r>
        <w:rPr>
          <w:rFonts w:hint="eastAsia" w:ascii="方正小标宋简体" w:eastAsia="方正小标宋简体"/>
          <w:b/>
          <w:sz w:val="44"/>
          <w:szCs w:val="36"/>
        </w:rPr>
        <w:t>《</w:t>
      </w:r>
      <w:r>
        <w:rPr>
          <w:rFonts w:hint="eastAsia" w:ascii="方正小标宋简体" w:hAnsi="Times New Roman" w:eastAsia="方正小标宋简体" w:cs="Times New Roman"/>
          <w:b/>
          <w:bCs/>
          <w:sz w:val="44"/>
          <w:szCs w:val="36"/>
        </w:rPr>
        <w:t>电动汽车检查与维护</w:t>
      </w:r>
      <w:r>
        <w:rPr>
          <w:rFonts w:hint="eastAsia" w:ascii="方正小标宋简体" w:eastAsia="方正小标宋简体"/>
          <w:b/>
          <w:sz w:val="44"/>
          <w:szCs w:val="36"/>
        </w:rPr>
        <w:t>》课程标准</w:t>
      </w:r>
      <w:bookmarkEnd w:id="2"/>
      <w:bookmarkEnd w:id="3"/>
    </w:p>
    <w:tbl>
      <w:tblPr>
        <w:tblStyle w:val="7"/>
        <w:tblpPr w:leftFromText="180" w:rightFromText="180" w:vertAnchor="text" w:horzAnchor="page" w:tblpX="1590" w:tblpY="100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528"/>
        <w:gridCol w:w="102"/>
        <w:gridCol w:w="3743"/>
        <w:gridCol w:w="853"/>
        <w:gridCol w:w="66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91" w:type="pct"/>
            <w:gridSpan w:val="3"/>
            <w:noWrap w:val="0"/>
            <w:vAlign w:val="center"/>
          </w:tcPr>
          <w:p>
            <w:pPr>
              <w:spacing w:line="360" w:lineRule="auto"/>
              <w:jc w:val="center"/>
              <w:rPr>
                <w:rFonts w:hint="eastAsia" w:ascii="仿宋_GB2312" w:hAnsi="宋体" w:eastAsia="仿宋_GB2312"/>
                <w:sz w:val="28"/>
                <w:szCs w:val="28"/>
              </w:rPr>
            </w:pPr>
            <w:bookmarkStart w:id="4" w:name="_Toc29500406"/>
            <w:r>
              <w:rPr>
                <w:rFonts w:hint="eastAsia" w:ascii="仿宋_GB2312" w:hAnsi="宋体" w:eastAsia="仿宋_GB2312"/>
                <w:sz w:val="28"/>
                <w:szCs w:val="28"/>
              </w:rPr>
              <w:t>一体化课程名称</w:t>
            </w:r>
          </w:p>
        </w:tc>
        <w:tc>
          <w:tcPr>
            <w:tcW w:w="2053" w:type="pct"/>
            <w:noWrap w:val="0"/>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cs="Times New Roman"/>
                <w:sz w:val="28"/>
                <w:szCs w:val="28"/>
              </w:rPr>
              <w:t>电动汽车检查与维护</w:t>
            </w:r>
          </w:p>
        </w:tc>
        <w:tc>
          <w:tcPr>
            <w:tcW w:w="831" w:type="pct"/>
            <w:gridSpan w:val="2"/>
            <w:noWrap w:val="0"/>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基准学时</w:t>
            </w:r>
          </w:p>
        </w:tc>
        <w:tc>
          <w:tcPr>
            <w:tcW w:w="724" w:type="pct"/>
            <w:noWrap w:val="0"/>
            <w:vAlign w:val="center"/>
          </w:tcPr>
          <w:p>
            <w:pPr>
              <w:spacing w:line="360" w:lineRule="auto"/>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000" w:type="pct"/>
            <w:gridSpan w:val="7"/>
            <w:noWrap w:val="0"/>
            <w:vAlign w:val="center"/>
          </w:tcPr>
          <w:p>
            <w:pPr>
              <w:pStyle w:val="3"/>
              <w:spacing w:before="0" w:after="0" w:line="360" w:lineRule="auto"/>
              <w:rPr>
                <w:rFonts w:hint="eastAsia" w:ascii="黑体" w:hAnsi="黑体" w:eastAsia="黑体"/>
                <w:b w:val="0"/>
                <w:sz w:val="30"/>
                <w:szCs w:val="30"/>
              </w:rPr>
            </w:pPr>
            <w:bookmarkStart w:id="5" w:name="_Toc16497"/>
            <w:bookmarkStart w:id="6" w:name="_Toc29500407"/>
            <w:r>
              <w:rPr>
                <w:rFonts w:hint="eastAsia" w:ascii="黑体" w:hAnsi="黑体" w:eastAsia="黑体"/>
                <w:b w:val="0"/>
                <w:sz w:val="30"/>
                <w:szCs w:val="30"/>
              </w:rPr>
              <w:t>一、典型工作任务描述</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7"/>
            <w:noWrap w:val="0"/>
            <w:vAlign w:val="center"/>
          </w:tcPr>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新能源汽车检查与常规维护是为了维持汽车良好技术状况或工作性能而进行的技术作业，如新车交付检查（ PDI ）和常规维护。新车交付检查（ PDI ）是指新车在交付客户前，为确保其性能完全达到原厂要求而进行的技术作业。常规维护是指汽车在使用过程中达到厂家规定保养周期时，为维持新能源汽车的技术状况或工作能力而进行的技术作业。汽车维修工根据维修工单，在汽车维修工位上，通过独立或合作方式，在规定工时内按厂家规定的检查和维护作业流程及规范对车辆外观及附属设施、车身、底盘、电气等系统实施相应清洁、检查、润滑、紧固、调整、恢复和更换作业，对于发现的维修增项须经前台、客户确认后实施，在自检合格后交付班组长进行质量检验。作业过程中，作业区域应干燥，并设置隔离区和警示牌。作业人员不应用水直接冲洗车辆高压系统部件、电气舱及散热格栅，应严格遵守汽车生产厂家制定的操作规程、企业内部检验规范、安全生产制度、环保管理制度以及“7S”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000" w:type="pct"/>
            <w:gridSpan w:val="7"/>
            <w:noWrap w:val="0"/>
            <w:vAlign w:val="center"/>
          </w:tcPr>
          <w:p>
            <w:pPr>
              <w:pStyle w:val="3"/>
              <w:spacing w:before="0" w:after="0" w:line="360" w:lineRule="auto"/>
              <w:rPr>
                <w:rFonts w:hint="eastAsia" w:ascii="仿宋_GB2312" w:hAnsi="宋体"/>
                <w:b w:val="0"/>
              </w:rPr>
            </w:pPr>
            <w:bookmarkStart w:id="7" w:name="_Toc29500408"/>
            <w:bookmarkStart w:id="8" w:name="_Toc29281"/>
            <w:r>
              <w:rPr>
                <w:rFonts w:hint="eastAsia" w:ascii="黑体" w:hAnsi="黑体" w:eastAsia="黑体"/>
                <w:b w:val="0"/>
                <w:sz w:val="30"/>
                <w:szCs w:val="30"/>
              </w:rPr>
              <w:t>二、工作内容分析</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35" w:type="pct"/>
            <w:gridSpan w:val="2"/>
            <w:noWrap w:val="0"/>
            <w:vAlign w:val="top"/>
          </w:tcPr>
          <w:p>
            <w:pPr>
              <w:spacing w:line="360" w:lineRule="auto"/>
              <w:rPr>
                <w:rFonts w:hint="eastAsia" w:ascii="仿宋_GB2312" w:hAnsi="宋体" w:eastAsia="仿宋_GB2312"/>
                <w:sz w:val="28"/>
                <w:szCs w:val="28"/>
              </w:rPr>
            </w:pPr>
            <w:r>
              <w:rPr>
                <w:rFonts w:hint="eastAsia" w:ascii="仿宋_GB2312" w:hAnsi="宋体" w:eastAsia="仿宋_GB2312"/>
                <w:sz w:val="28"/>
                <w:szCs w:val="28"/>
              </w:rPr>
              <w:t>工作</w:t>
            </w:r>
            <w:r>
              <w:rPr>
                <w:rFonts w:hint="eastAsia" w:ascii="仿宋_GB2312" w:hAnsi="宋体" w:eastAsia="仿宋_GB2312"/>
                <w:sz w:val="28"/>
                <w:szCs w:val="28"/>
                <w:lang w:eastAsia="zh-CN"/>
              </w:rPr>
              <w:t>内容</w:t>
            </w:r>
            <w:r>
              <w:rPr>
                <w:rFonts w:hint="eastAsia" w:ascii="仿宋_GB2312" w:hAnsi="宋体" w:eastAsia="仿宋_GB2312"/>
                <w:sz w:val="28"/>
                <w:szCs w:val="28"/>
              </w:rPr>
              <w:t>：</w:t>
            </w:r>
          </w:p>
          <w:p>
            <w:pPr>
              <w:spacing w:line="360" w:lineRule="auto"/>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eastAsia="zh-CN"/>
              </w:rPr>
              <w:t>维修工单的阅读分析；</w:t>
            </w:r>
          </w:p>
          <w:p>
            <w:pPr>
              <w:spacing w:line="360" w:lineRule="auto"/>
              <w:rPr>
                <w:rFonts w:hint="eastAsia" w:ascii="仿宋_GB2312" w:hAnsi="宋体" w:eastAsia="仿宋_GB2312"/>
                <w:sz w:val="28"/>
                <w:szCs w:val="28"/>
                <w:lang w:eastAsia="zh-CN"/>
              </w:rPr>
            </w:pPr>
            <w:r>
              <w:rPr>
                <w:rFonts w:hint="eastAsia" w:ascii="仿宋_GB2312" w:hAnsi="宋体" w:eastAsia="仿宋_GB2312"/>
                <w:sz w:val="28"/>
                <w:szCs w:val="28"/>
              </w:rPr>
              <w:t>2.</w:t>
            </w:r>
            <w:r>
              <w:rPr>
                <w:rFonts w:hint="eastAsia" w:ascii="仿宋_GB2312" w:hAnsi="宋体" w:eastAsia="仿宋_GB2312"/>
                <w:sz w:val="28"/>
                <w:szCs w:val="28"/>
                <w:lang w:eastAsia="zh-CN"/>
              </w:rPr>
              <w:t>与前台、工具管理员、配件管理员、班组长等相关人员的沟通；</w:t>
            </w:r>
          </w:p>
          <w:p>
            <w:pPr>
              <w:spacing w:line="360" w:lineRule="auto"/>
              <w:rPr>
                <w:rFonts w:hint="eastAsia" w:ascii="仿宋_GB2312" w:hAnsi="宋体" w:eastAsia="仿宋_GB2312"/>
                <w:sz w:val="28"/>
                <w:szCs w:val="28"/>
                <w:lang w:eastAsia="zh-CN"/>
              </w:rPr>
            </w:pPr>
            <w:r>
              <w:rPr>
                <w:rFonts w:hint="eastAsia" w:ascii="仿宋_GB2312" w:hAnsi="宋体" w:eastAsia="仿宋_GB2312"/>
                <w:sz w:val="28"/>
                <w:szCs w:val="28"/>
              </w:rPr>
              <w:t>3.</w:t>
            </w:r>
            <w:r>
              <w:rPr>
                <w:rFonts w:hint="eastAsia" w:ascii="仿宋_GB2312" w:hAnsi="宋体" w:eastAsia="仿宋_GB2312"/>
                <w:sz w:val="28"/>
                <w:szCs w:val="28"/>
                <w:lang w:eastAsia="zh-CN"/>
              </w:rPr>
              <w:t>维修手册的查阅与应用；</w:t>
            </w:r>
          </w:p>
          <w:p>
            <w:pPr>
              <w:spacing w:line="360" w:lineRule="auto"/>
              <w:rPr>
                <w:rFonts w:hint="eastAsia" w:ascii="仿宋_GB2312" w:hAnsi="宋体" w:eastAsia="仿宋_GB2312"/>
                <w:sz w:val="28"/>
                <w:szCs w:val="28"/>
                <w:lang w:eastAsia="zh-CN"/>
              </w:rPr>
            </w:pPr>
            <w:r>
              <w:rPr>
                <w:rFonts w:hint="eastAsia" w:ascii="仿宋_GB2312" w:hAnsi="宋体" w:eastAsia="仿宋_GB2312"/>
                <w:sz w:val="28"/>
                <w:szCs w:val="28"/>
              </w:rPr>
              <w:t>4.</w:t>
            </w:r>
            <w:r>
              <w:rPr>
                <w:rFonts w:hint="eastAsia" w:ascii="仿宋_GB2312" w:hAnsi="宋体" w:eastAsia="仿宋_GB2312"/>
                <w:sz w:val="28"/>
                <w:szCs w:val="28"/>
                <w:lang w:eastAsia="zh-CN"/>
              </w:rPr>
              <w:t>工量具、耗材、设备的准备；</w:t>
            </w:r>
          </w:p>
          <w:p>
            <w:pPr>
              <w:spacing w:line="360" w:lineRule="auto"/>
              <w:rPr>
                <w:rFonts w:hint="eastAsia" w:ascii="仿宋_GB2312" w:hAnsi="宋体" w:eastAsia="仿宋_GB2312"/>
                <w:sz w:val="28"/>
                <w:szCs w:val="28"/>
                <w:lang w:eastAsia="zh-CN"/>
              </w:rPr>
            </w:pPr>
            <w:r>
              <w:rPr>
                <w:rFonts w:hint="eastAsia" w:ascii="仿宋_GB2312" w:hAnsi="宋体" w:eastAsia="仿宋_GB2312"/>
                <w:sz w:val="28"/>
                <w:szCs w:val="28"/>
              </w:rPr>
              <w:t>5.</w:t>
            </w:r>
            <w:r>
              <w:rPr>
                <w:rFonts w:hint="eastAsia" w:ascii="仿宋_GB2312" w:hAnsi="宋体" w:eastAsia="仿宋_GB2312"/>
                <w:sz w:val="28"/>
                <w:szCs w:val="28"/>
                <w:lang w:eastAsia="zh-CN"/>
              </w:rPr>
              <w:t>汽车清洁、检查、润滑、紧固、调整和更换；</w:t>
            </w:r>
          </w:p>
          <w:p>
            <w:pPr>
              <w:spacing w:line="360" w:lineRule="auto"/>
              <w:rPr>
                <w:rFonts w:hint="eastAsia" w:ascii="仿宋_GB2312" w:hAnsi="宋体" w:eastAsia="仿宋_GB2312"/>
                <w:sz w:val="28"/>
                <w:szCs w:val="28"/>
                <w:lang w:eastAsia="zh-CN"/>
              </w:rPr>
            </w:pPr>
            <w:r>
              <w:rPr>
                <w:rFonts w:hint="eastAsia" w:ascii="仿宋_GB2312" w:hAnsi="宋体" w:eastAsia="仿宋_GB2312"/>
                <w:sz w:val="28"/>
                <w:szCs w:val="28"/>
              </w:rPr>
              <w:t>6.</w:t>
            </w:r>
            <w:r>
              <w:rPr>
                <w:rFonts w:hint="eastAsia" w:ascii="仿宋_GB2312" w:hAnsi="宋体" w:eastAsia="仿宋_GB2312"/>
                <w:sz w:val="28"/>
                <w:szCs w:val="28"/>
                <w:lang w:eastAsia="zh-CN"/>
              </w:rPr>
              <w:t>车辆的交付检验，汽车维护质量、安全性、经济性和环保性评估。</w:t>
            </w:r>
          </w:p>
          <w:p>
            <w:pPr>
              <w:spacing w:line="360" w:lineRule="auto"/>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.施工后自检</w:t>
            </w:r>
          </w:p>
          <w:p>
            <w:pPr>
              <w:spacing w:line="360" w:lineRule="auto"/>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.清理场地、归置物品</w:t>
            </w:r>
          </w:p>
          <w:p>
            <w:pPr>
              <w:spacing w:line="360" w:lineRule="auto"/>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.在任务单签字确认，交付验收</w:t>
            </w:r>
          </w:p>
        </w:tc>
        <w:tc>
          <w:tcPr>
            <w:tcW w:w="2109" w:type="pct"/>
            <w:gridSpan w:val="2"/>
            <w:noWrap w:val="0"/>
            <w:vAlign w:val="top"/>
          </w:tcPr>
          <w:p>
            <w:pPr>
              <w:spacing w:line="360" w:lineRule="auto"/>
              <w:rPr>
                <w:rFonts w:hint="eastAsia" w:ascii="仿宋_GB2312" w:hAnsi="宋体" w:eastAsia="仿宋_GB2312"/>
                <w:color w:val="000000"/>
                <w:sz w:val="28"/>
                <w:szCs w:val="28"/>
              </w:rPr>
            </w:pPr>
            <w:r>
              <w:rPr>
                <w:rFonts w:hint="eastAsia" w:ascii="仿宋_GB2312" w:hAnsi="宋体" w:eastAsia="仿宋_GB2312"/>
                <w:color w:val="000000"/>
                <w:sz w:val="28"/>
                <w:szCs w:val="28"/>
              </w:rPr>
              <w:t>工具、材料、设备与资料：</w:t>
            </w:r>
          </w:p>
          <w:p>
            <w:pPr>
              <w:spacing w:line="360" w:lineRule="auto"/>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工具：绝缘防护用品、绝缘拆装工具、仪表（万用表、兆欧表等）、解码仪、</w:t>
            </w:r>
            <w:r>
              <w:rPr>
                <w:rFonts w:hint="eastAsia" w:ascii="仿宋_GB2312" w:hAnsi="宋体" w:eastAsia="仿宋_GB2312"/>
                <w:color w:val="000000"/>
                <w:sz w:val="28"/>
                <w:szCs w:val="28"/>
                <w:lang w:eastAsia="zh-CN"/>
              </w:rPr>
              <w:t>急救包；</w:t>
            </w:r>
          </w:p>
          <w:p>
            <w:pPr>
              <w:spacing w:line="360" w:lineRule="auto"/>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材料：保险丝、继电器，</w:t>
            </w:r>
            <w:r>
              <w:rPr>
                <w:rFonts w:hint="eastAsia" w:ascii="仿宋_GB2312" w:hAnsi="宋体" w:eastAsia="仿宋_GB2312"/>
                <w:color w:val="000000"/>
                <w:sz w:val="28"/>
                <w:szCs w:val="28"/>
                <w:lang w:eastAsia="zh-CN"/>
              </w:rPr>
              <w:t>电工胶布</w:t>
            </w:r>
            <w:r>
              <w:rPr>
                <w:rFonts w:hint="eastAsia" w:ascii="仿宋_GB2312" w:hAnsi="宋体" w:eastAsia="仿宋_GB2312"/>
                <w:color w:val="000000"/>
                <w:sz w:val="28"/>
                <w:szCs w:val="28"/>
              </w:rPr>
              <w:t>、保护用品</w:t>
            </w:r>
            <w:r>
              <w:rPr>
                <w:rFonts w:hint="eastAsia" w:ascii="仿宋_GB2312" w:hAnsi="宋体" w:eastAsia="仿宋_GB2312"/>
                <w:color w:val="000000"/>
                <w:sz w:val="28"/>
                <w:szCs w:val="28"/>
                <w:lang w:eastAsia="zh-CN"/>
              </w:rPr>
              <w:t>、油料、零配件等；</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资料：任务单、维修手册、电业安全操作规程等资料</w:t>
            </w:r>
          </w:p>
          <w:p>
            <w:pPr>
              <w:spacing w:line="360" w:lineRule="auto"/>
              <w:rPr>
                <w:rFonts w:hint="eastAsia" w:ascii="仿宋_GB2312" w:hAnsi="宋体" w:eastAsia="仿宋_GB2312"/>
                <w:color w:val="000000"/>
                <w:sz w:val="28"/>
                <w:szCs w:val="28"/>
              </w:rPr>
            </w:pPr>
            <w:r>
              <w:rPr>
                <w:rFonts w:hint="eastAsia" w:ascii="仿宋_GB2312" w:hAnsi="宋体" w:eastAsia="仿宋_GB2312"/>
                <w:color w:val="000000"/>
                <w:sz w:val="28"/>
                <w:szCs w:val="28"/>
              </w:rPr>
              <w:t>工作方法：</w:t>
            </w:r>
          </w:p>
          <w:p>
            <w:pPr>
              <w:spacing w:line="360" w:lineRule="auto"/>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 xml:space="preserve">    维修工单的使用、维修操作手册的查阅、PDI方法、单人或双人保养方法、快修工具设备的使用和汽车维护质量检验法的运用等。</w:t>
            </w:r>
          </w:p>
          <w:p>
            <w:pPr>
              <w:spacing w:line="360" w:lineRule="auto"/>
              <w:rPr>
                <w:rFonts w:hint="eastAsia" w:ascii="仿宋_GB2312" w:hAnsi="宋体" w:eastAsia="仿宋_GB2312"/>
                <w:color w:val="000000"/>
                <w:sz w:val="28"/>
                <w:szCs w:val="28"/>
              </w:rPr>
            </w:pPr>
            <w:r>
              <w:rPr>
                <w:rFonts w:hint="eastAsia" w:ascii="仿宋_GB2312" w:hAnsi="宋体" w:eastAsia="仿宋_GB2312"/>
                <w:color w:val="000000"/>
                <w:sz w:val="28"/>
                <w:szCs w:val="28"/>
              </w:rPr>
              <w:t>劳动组织方式：</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以小组合作的方式进行。从班组长处领取工作任务，明确工作任务内容，结合维修手册制定实施方案，从技术部门领取或查阅维修资料，到配件部门领取零配件和辅料，到工具库领取专用工量具；必要时与班组长或前台接待进行维护情况的沟通。自检合格后交付班组长进行质量检验。</w:t>
            </w:r>
          </w:p>
        </w:tc>
        <w:tc>
          <w:tcPr>
            <w:tcW w:w="1555" w:type="pct"/>
            <w:gridSpan w:val="3"/>
            <w:noWrap w:val="0"/>
            <w:vAlign w:val="top"/>
          </w:tcPr>
          <w:p>
            <w:pPr>
              <w:spacing w:line="360" w:lineRule="auto"/>
              <w:rPr>
                <w:rFonts w:hint="eastAsia" w:ascii="仿宋_GB2312" w:hAnsi="宋体" w:eastAsia="仿宋_GB2312"/>
                <w:sz w:val="28"/>
                <w:szCs w:val="28"/>
              </w:rPr>
            </w:pPr>
            <w:r>
              <w:rPr>
                <w:rFonts w:hint="eastAsia" w:ascii="仿宋_GB2312" w:hAnsi="宋体" w:eastAsia="仿宋_GB2312"/>
                <w:sz w:val="28"/>
                <w:szCs w:val="28"/>
              </w:rPr>
              <w:t>工作要求</w:t>
            </w:r>
          </w:p>
          <w:p>
            <w:pPr>
              <w:numPr>
                <w:ilvl w:val="0"/>
                <w:numId w:val="1"/>
              </w:numPr>
              <w:spacing w:line="360" w:lineRule="auto"/>
              <w:rPr>
                <w:rFonts w:hint="eastAsia" w:ascii="仿宋_GB2312" w:hAnsi="宋体" w:eastAsia="仿宋_GB2312"/>
                <w:sz w:val="28"/>
                <w:szCs w:val="28"/>
              </w:rPr>
            </w:pPr>
            <w:r>
              <w:rPr>
                <w:rFonts w:hint="eastAsia" w:ascii="仿宋_GB2312" w:hAnsi="宋体" w:eastAsia="仿宋_GB2312"/>
                <w:sz w:val="28"/>
                <w:szCs w:val="28"/>
              </w:rPr>
              <w:t>根据维修工单，明确作业内容和要求；2．与前台、工具管理员、配件管理员、班组长等相关人员进行专业沟通；</w:t>
            </w:r>
          </w:p>
          <w:p>
            <w:pPr>
              <w:numPr>
                <w:ilvl w:val="0"/>
                <w:numId w:val="1"/>
              </w:numPr>
              <w:spacing w:line="360" w:lineRule="auto"/>
              <w:ind w:left="0" w:leftChars="0" w:firstLine="0" w:firstLineChars="0"/>
              <w:rPr>
                <w:rFonts w:hint="eastAsia" w:ascii="仿宋_GB2312" w:hAnsi="宋体" w:eastAsia="仿宋_GB2312"/>
                <w:sz w:val="28"/>
                <w:szCs w:val="28"/>
              </w:rPr>
            </w:pPr>
            <w:r>
              <w:rPr>
                <w:rFonts w:hint="eastAsia" w:ascii="仿宋_GB2312" w:hAnsi="宋体" w:eastAsia="仿宋_GB2312"/>
                <w:sz w:val="28"/>
                <w:szCs w:val="28"/>
              </w:rPr>
              <w:t>从满足客户对汽车维护质量、经济性、维护时间等需求的角度来制定维护作业流程；</w:t>
            </w:r>
          </w:p>
          <w:p>
            <w:pPr>
              <w:numPr>
                <w:ilvl w:val="0"/>
                <w:numId w:val="0"/>
              </w:numPr>
              <w:spacing w:line="360" w:lineRule="auto"/>
              <w:ind w:leftChars="0"/>
              <w:rPr>
                <w:rFonts w:hint="eastAsia" w:ascii="仿宋_GB2312" w:hAnsi="宋体" w:eastAsia="仿宋_GB2312"/>
                <w:sz w:val="28"/>
                <w:szCs w:val="28"/>
              </w:rPr>
            </w:pPr>
            <w:r>
              <w:rPr>
                <w:rFonts w:hint="eastAsia" w:ascii="仿宋_GB2312" w:hAnsi="宋体" w:eastAsia="仿宋_GB2312"/>
                <w:sz w:val="28"/>
                <w:szCs w:val="28"/>
              </w:rPr>
              <w:t>4．清洁、检查、润滑、紧固、调整和更换等工作应符合标准规范；</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5.按照安全操作规程应用必要的标识和隔离措施，确保现场施工安全。</w:t>
            </w:r>
          </w:p>
          <w:p>
            <w:pPr>
              <w:spacing w:line="36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6.作业过程严格执行企业安全生产制度、环保管理制度以及“7S”管理规定；</w:t>
            </w:r>
          </w:p>
          <w:p>
            <w:pPr>
              <w:spacing w:line="360" w:lineRule="auto"/>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7.对已完成的工作进行记录、评价、反馈和存档。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000" w:type="pct"/>
            <w:gridSpan w:val="7"/>
            <w:noWrap w:val="0"/>
            <w:vAlign w:val="center"/>
          </w:tcPr>
          <w:p>
            <w:pPr>
              <w:pStyle w:val="3"/>
              <w:spacing w:before="0" w:after="0" w:line="360" w:lineRule="auto"/>
              <w:rPr>
                <w:rFonts w:hint="eastAsia" w:ascii="仿宋_GB2312" w:hAnsi="宋体"/>
                <w:b w:val="0"/>
              </w:rPr>
            </w:pPr>
            <w:bookmarkStart w:id="9" w:name="_Toc29862"/>
            <w:bookmarkStart w:id="10" w:name="_Toc29500409"/>
            <w:r>
              <w:rPr>
                <w:rFonts w:hint="eastAsia" w:ascii="黑体" w:hAnsi="黑体" w:eastAsia="黑体"/>
                <w:b w:val="0"/>
                <w:sz w:val="30"/>
                <w:szCs w:val="30"/>
              </w:rPr>
              <w:t>三、课程目标</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7"/>
            <w:noWrap w:val="0"/>
            <w:vAlign w:val="top"/>
          </w:tcPr>
          <w:p>
            <w:pPr>
              <w:spacing w:line="360" w:lineRule="auto"/>
              <w:ind w:firstLine="548" w:firstLineChars="196"/>
              <w:rPr>
                <w:rFonts w:hint="eastAsia" w:ascii="仿宋_GB2312" w:hAnsi="宋体" w:eastAsia="仿宋_GB2312"/>
                <w:sz w:val="28"/>
                <w:szCs w:val="28"/>
              </w:rPr>
            </w:pPr>
            <w:r>
              <w:rPr>
                <w:rFonts w:hint="eastAsia" w:ascii="仿宋_GB2312" w:hAnsi="宋体" w:eastAsia="仿宋_GB2312"/>
                <w:sz w:val="28"/>
                <w:szCs w:val="28"/>
              </w:rPr>
              <w:t>学习完本课程后，学生应当能够胜任新能源汽车新车交付检查与常规维护工作，</w:t>
            </w:r>
            <w:r>
              <w:rPr>
                <w:rFonts w:hint="eastAsia" w:ascii="仿宋_GB2312" w:hAnsi="宋体" w:eastAsia="仿宋_GB2312"/>
                <w:sz w:val="28"/>
                <w:szCs w:val="28"/>
                <w:lang w:eastAsia="zh-CN"/>
              </w:rPr>
              <w:t>以及动力电池系统、驱动电机系统、高压配电系统等检查与维护工作，</w:t>
            </w:r>
            <w:r>
              <w:rPr>
                <w:rFonts w:hint="eastAsia" w:ascii="仿宋_GB2312" w:hAnsi="宋体" w:eastAsia="仿宋_GB2312"/>
                <w:sz w:val="28"/>
                <w:szCs w:val="28"/>
              </w:rPr>
              <w:t>并严格执行企业安全生产制度、环保管理制度和“7S”管理规定，在检查与维护过程中养成良好的职业素养。</w:t>
            </w:r>
          </w:p>
          <w:p>
            <w:pPr>
              <w:spacing w:line="360" w:lineRule="auto"/>
              <w:ind w:firstLine="548" w:firstLineChars="196"/>
              <w:rPr>
                <w:rFonts w:hint="eastAsia" w:ascii="仿宋_GB2312" w:hAnsi="宋体" w:eastAsia="仿宋_GB2312"/>
                <w:sz w:val="28"/>
                <w:szCs w:val="28"/>
              </w:rPr>
            </w:pPr>
            <w:r>
              <w:rPr>
                <w:rFonts w:hint="eastAsia" w:ascii="仿宋_GB2312" w:hAnsi="宋体" w:eastAsia="仿宋_GB2312"/>
                <w:sz w:val="28"/>
                <w:szCs w:val="28"/>
              </w:rPr>
              <w:t>包括：</w:t>
            </w:r>
          </w:p>
          <w:p>
            <w:pPr>
              <w:numPr>
                <w:ilvl w:val="0"/>
                <w:numId w:val="2"/>
              </w:numPr>
              <w:spacing w:line="360" w:lineRule="auto"/>
              <w:ind w:firstLine="548" w:firstLineChars="196"/>
              <w:rPr>
                <w:rFonts w:hint="eastAsia" w:ascii="仿宋_GB2312" w:hAnsi="宋体" w:eastAsia="仿宋_GB2312"/>
                <w:sz w:val="28"/>
                <w:szCs w:val="28"/>
              </w:rPr>
            </w:pPr>
            <w:r>
              <w:rPr>
                <w:rFonts w:hint="eastAsia" w:ascii="仿宋_GB2312" w:hAnsi="宋体" w:eastAsia="仿宋_GB2312"/>
                <w:sz w:val="28"/>
                <w:szCs w:val="28"/>
              </w:rPr>
              <w:t>能阅读并规范填写维修工单，根据新能源汽车的结构特点和高压电安全作业要求，确定新能源汽车检查与维护的项目和内容。</w:t>
            </w:r>
          </w:p>
          <w:p>
            <w:pPr>
              <w:numPr>
                <w:ilvl w:val="0"/>
                <w:numId w:val="2"/>
              </w:numPr>
              <w:spacing w:line="360" w:lineRule="auto"/>
              <w:ind w:left="0" w:leftChars="0" w:firstLine="548" w:firstLineChars="196"/>
              <w:rPr>
                <w:rFonts w:hint="eastAsia" w:ascii="仿宋_GB2312" w:hAnsi="宋体" w:eastAsia="仿宋_GB2312"/>
                <w:sz w:val="28"/>
                <w:szCs w:val="28"/>
              </w:rPr>
            </w:pPr>
            <w:r>
              <w:rPr>
                <w:rFonts w:hint="eastAsia" w:ascii="仿宋_GB2312" w:hAnsi="宋体" w:eastAsia="仿宋_GB2312"/>
                <w:sz w:val="28"/>
                <w:szCs w:val="28"/>
              </w:rPr>
              <w:t>能以小组协作的形式，根据厂家规定的新能源汽车检查与维护的周期，查阅维护手册，确定新能源汽车检查与维护作业流程，完成作业前的准备工作。</w:t>
            </w:r>
          </w:p>
          <w:p>
            <w:pPr>
              <w:numPr>
                <w:ilvl w:val="0"/>
                <w:numId w:val="2"/>
              </w:numPr>
              <w:spacing w:line="360" w:lineRule="auto"/>
              <w:ind w:left="0" w:leftChars="0" w:firstLine="548" w:firstLineChars="196"/>
              <w:rPr>
                <w:rFonts w:hint="eastAsia" w:ascii="仿宋_GB2312" w:hAnsi="宋体" w:eastAsia="仿宋_GB2312"/>
                <w:sz w:val="28"/>
                <w:szCs w:val="28"/>
              </w:rPr>
            </w:pPr>
            <w:r>
              <w:rPr>
                <w:rFonts w:hint="eastAsia" w:ascii="仿宋_GB2312" w:hAnsi="宋体" w:eastAsia="仿宋_GB2312"/>
                <w:sz w:val="28"/>
                <w:szCs w:val="28"/>
              </w:rPr>
              <w:t>能根据新能源汽车维护技术规范和作业流程，在规定时间内完成新车交付检查（ PDI ）或维护任务，并填写检查与维护记录。</w:t>
            </w:r>
          </w:p>
          <w:p>
            <w:pPr>
              <w:numPr>
                <w:ilvl w:val="0"/>
                <w:numId w:val="0"/>
              </w:num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4．能根据企业三级检验制度，按行业竣工检验标准，对检査与维护作业质量进行自检、组检和终检，在维修工单上填写质检结果并签字确认后，交付车辆。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000" w:type="pct"/>
            <w:gridSpan w:val="7"/>
            <w:noWrap w:val="0"/>
            <w:vAlign w:val="center"/>
          </w:tcPr>
          <w:p>
            <w:pPr>
              <w:pStyle w:val="3"/>
              <w:spacing w:before="0" w:after="0" w:line="360" w:lineRule="auto"/>
              <w:rPr>
                <w:rFonts w:hint="eastAsia" w:ascii="仿宋_GB2312" w:hAnsi="宋体"/>
              </w:rPr>
            </w:pPr>
            <w:bookmarkStart w:id="11" w:name="_Toc28749"/>
            <w:bookmarkStart w:id="12" w:name="_Toc29500410"/>
            <w:r>
              <w:rPr>
                <w:rFonts w:hint="eastAsia" w:ascii="黑体" w:hAnsi="黑体" w:eastAsia="黑体"/>
                <w:b w:val="0"/>
                <w:sz w:val="30"/>
                <w:szCs w:val="30"/>
              </w:rPr>
              <w:t>四、学习内容</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7"/>
            <w:noWrap w:val="0"/>
            <w:vAlign w:val="top"/>
          </w:tcPr>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本课程的主要学习内容包括：</w:t>
            </w:r>
          </w:p>
          <w:p>
            <w:pPr>
              <w:numPr>
                <w:ilvl w:val="0"/>
                <w:numId w:val="3"/>
              </w:num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工作环境认知与安全防护</w:t>
            </w:r>
          </w:p>
          <w:p>
            <w:pPr>
              <w:numPr>
                <w:ilvl w:val="0"/>
                <w:numId w:val="0"/>
              </w:num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车间环境与企业组织架构、“7S”管理规定、工作岗位职责、工作内容与业务流程等的认知；安全标志标识、高压安全防护用品的检査与使用方法，维修车间的安全环保规定等的认知。</w:t>
            </w:r>
          </w:p>
          <w:p>
            <w:pPr>
              <w:numPr>
                <w:ilvl w:val="0"/>
                <w:numId w:val="3"/>
              </w:numPr>
              <w:spacing w:line="360" w:lineRule="auto"/>
              <w:ind w:left="0" w:leftChars="0" w:firstLine="560" w:firstLineChars="200"/>
              <w:rPr>
                <w:rFonts w:hint="eastAsia" w:ascii="仿宋_GB2312" w:eastAsia="仿宋_GB2312"/>
                <w:sz w:val="28"/>
                <w:szCs w:val="28"/>
              </w:rPr>
            </w:pPr>
            <w:r>
              <w:rPr>
                <w:rFonts w:hint="eastAsia" w:ascii="仿宋_GB2312" w:eastAsia="仿宋_GB2312"/>
                <w:sz w:val="28"/>
                <w:szCs w:val="28"/>
              </w:rPr>
              <w:t>新能源汽车的认知与操作</w:t>
            </w:r>
          </w:p>
          <w:p>
            <w:pPr>
              <w:numPr>
                <w:ilvl w:val="0"/>
                <w:numId w:val="0"/>
              </w:num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新能源汽车的类型、纯电动汽车构造的认知，品牌辨别，汽车基本功能操作及驾驶操作等。</w:t>
            </w:r>
          </w:p>
          <w:p>
            <w:pPr>
              <w:numPr>
                <w:ilvl w:val="0"/>
                <w:numId w:val="3"/>
              </w:numPr>
              <w:spacing w:line="360" w:lineRule="auto"/>
              <w:ind w:left="0" w:leftChars="0" w:firstLine="560" w:firstLineChars="200"/>
              <w:rPr>
                <w:rFonts w:hint="eastAsia" w:ascii="仿宋_GB2312" w:eastAsia="仿宋_GB2312"/>
                <w:sz w:val="28"/>
                <w:szCs w:val="28"/>
              </w:rPr>
            </w:pPr>
            <w:r>
              <w:rPr>
                <w:rFonts w:hint="eastAsia" w:ascii="仿宋_GB2312" w:eastAsia="仿宋_GB2312"/>
                <w:sz w:val="28"/>
                <w:szCs w:val="28"/>
              </w:rPr>
              <w:t>高压用电安全与急救</w:t>
            </w:r>
          </w:p>
          <w:p>
            <w:pPr>
              <w:numPr>
                <w:ilvl w:val="0"/>
                <w:numId w:val="0"/>
              </w:num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电的基本概念、高压与低压的区分方法、高压用电警示标识使用方法、新能源汽车的主要安全隐患、触电急救的基本方法等。</w:t>
            </w:r>
          </w:p>
          <w:p>
            <w:pPr>
              <w:numPr>
                <w:ilvl w:val="0"/>
                <w:numId w:val="3"/>
              </w:numPr>
              <w:spacing w:line="360" w:lineRule="auto"/>
              <w:ind w:left="0" w:leftChars="0" w:firstLine="560" w:firstLineChars="200"/>
              <w:rPr>
                <w:rFonts w:hint="eastAsia" w:ascii="仿宋_GB2312" w:eastAsia="仿宋_GB2312"/>
                <w:sz w:val="28"/>
                <w:szCs w:val="28"/>
              </w:rPr>
            </w:pPr>
            <w:r>
              <w:rPr>
                <w:rFonts w:hint="eastAsia" w:ascii="仿宋_GB2312" w:eastAsia="仿宋_GB2312"/>
                <w:sz w:val="28"/>
                <w:szCs w:val="28"/>
              </w:rPr>
              <w:t>检查与维护前的准备</w:t>
            </w:r>
          </w:p>
          <w:p>
            <w:pPr>
              <w:numPr>
                <w:ilvl w:val="0"/>
                <w:numId w:val="0"/>
              </w:num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新能源汽车防护用品的使用，维护耗材【电工胶布、防护用品、油（液／脂）料等］的类型及选用，通用工具、专用工具（汽车故障诊断仪、绝缘测试仪、防护工具等）、量具（扭力扳手、万用表等）、设备（清洗设备、举升机、废液废品收集装置等）的安全要求及使用方法等。</w:t>
            </w:r>
          </w:p>
          <w:p>
            <w:pPr>
              <w:numPr>
                <w:ilvl w:val="0"/>
                <w:numId w:val="3"/>
              </w:numPr>
              <w:spacing w:line="360" w:lineRule="auto"/>
              <w:ind w:left="0" w:leftChars="0" w:firstLine="560" w:firstLineChars="200"/>
              <w:rPr>
                <w:rFonts w:hint="eastAsia" w:ascii="仿宋_GB2312" w:eastAsia="仿宋_GB2312"/>
                <w:sz w:val="28"/>
                <w:szCs w:val="28"/>
              </w:rPr>
            </w:pPr>
            <w:r>
              <w:rPr>
                <w:rFonts w:hint="eastAsia" w:ascii="仿宋_GB2312" w:eastAsia="仿宋_GB2312"/>
                <w:sz w:val="28"/>
                <w:szCs w:val="28"/>
              </w:rPr>
              <w:t>检査与维护的实施</w:t>
            </w:r>
          </w:p>
          <w:p>
            <w:pPr>
              <w:numPr>
                <w:ilvl w:val="0"/>
                <w:numId w:val="0"/>
              </w:num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新能源汽车检查与维护作业的实施，如新能源新车交接检查、汽车主要部位（车身外部、机舱、乘员舱前后排、电气、空调、底盘、行李舱等）的检査、汽车随车附件的检查、车身清洁与内饰清洁以及相关设备的使用等。</w:t>
            </w:r>
          </w:p>
          <w:p>
            <w:pPr>
              <w:numPr>
                <w:ilvl w:val="0"/>
                <w:numId w:val="3"/>
              </w:numPr>
              <w:spacing w:line="360" w:lineRule="auto"/>
              <w:ind w:left="0" w:leftChars="0" w:firstLine="560" w:firstLineChars="200"/>
              <w:rPr>
                <w:rFonts w:hint="eastAsia" w:ascii="仿宋_GB2312" w:eastAsia="仿宋_GB2312"/>
                <w:sz w:val="28"/>
                <w:szCs w:val="28"/>
              </w:rPr>
            </w:pPr>
            <w:r>
              <w:rPr>
                <w:rFonts w:hint="eastAsia" w:ascii="仿宋_GB2312" w:eastAsia="仿宋_GB2312"/>
                <w:sz w:val="28"/>
                <w:szCs w:val="28"/>
              </w:rPr>
              <w:t>维护质量检验与评估</w:t>
            </w:r>
          </w:p>
          <w:p>
            <w:pPr>
              <w:numPr>
                <w:ilvl w:val="0"/>
                <w:numId w:val="0"/>
              </w:numPr>
              <w:spacing w:line="360" w:lineRule="auto"/>
              <w:ind w:leftChars="200"/>
              <w:rPr>
                <w:rFonts w:hint="eastAsia" w:ascii="仿宋_GB2312" w:eastAsia="仿宋_GB2312"/>
                <w:sz w:val="28"/>
                <w:szCs w:val="28"/>
                <w:lang w:eastAsia="zh-CN"/>
              </w:rPr>
            </w:pPr>
            <w:r>
              <w:rPr>
                <w:rFonts w:hint="eastAsia" w:ascii="仿宋_GB2312" w:eastAsia="仿宋_GB2312"/>
                <w:sz w:val="28"/>
                <w:szCs w:val="28"/>
                <w:lang w:eastAsia="zh-CN"/>
              </w:rPr>
              <w:t>新能源汽车质量标准的查阅、新能源汽车维护质量的检验与评估。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7"/>
            <w:noWrap w:val="0"/>
            <w:vAlign w:val="center"/>
          </w:tcPr>
          <w:p>
            <w:pPr>
              <w:pStyle w:val="3"/>
              <w:spacing w:before="0" w:after="0" w:line="360" w:lineRule="auto"/>
              <w:rPr>
                <w:rFonts w:hint="eastAsia" w:ascii="仿宋_GB2312" w:hAnsi="宋体"/>
                <w:b w:val="0"/>
              </w:rPr>
            </w:pPr>
            <w:bookmarkStart w:id="13" w:name="_Toc29500411"/>
            <w:bookmarkStart w:id="14" w:name="_Toc21986"/>
            <w:r>
              <w:rPr>
                <w:rFonts w:hint="eastAsia" w:ascii="黑体" w:hAnsi="黑体" w:eastAsia="黑体"/>
                <w:b w:val="0"/>
                <w:sz w:val="30"/>
                <w:szCs w:val="30"/>
              </w:rPr>
              <w:t>五、参考性学习任务</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序号</w:t>
            </w:r>
          </w:p>
        </w:tc>
        <w:tc>
          <w:tcPr>
            <w:tcW w:w="3415" w:type="pct"/>
            <w:gridSpan w:val="4"/>
            <w:noWrap w:val="0"/>
            <w:vAlign w:val="center"/>
          </w:tcPr>
          <w:p>
            <w:pPr>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名  称</w:t>
            </w:r>
          </w:p>
        </w:tc>
        <w:tc>
          <w:tcPr>
            <w:tcW w:w="1087" w:type="pct"/>
            <w:gridSpan w:val="2"/>
            <w:noWrap w:val="0"/>
            <w:vAlign w:val="center"/>
          </w:tcPr>
          <w:p>
            <w:pPr>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3415" w:type="pct"/>
            <w:gridSpan w:val="4"/>
            <w:noWrap w:val="0"/>
            <w:vAlign w:val="center"/>
          </w:tcPr>
          <w:p>
            <w:pPr>
              <w:spacing w:line="360" w:lineRule="auto"/>
              <w:jc w:val="center"/>
              <w:rPr>
                <w:rFonts w:hint="eastAsia" w:ascii="仿宋_GB2312" w:hAnsi="宋体" w:eastAsia="仿宋_GB2312"/>
                <w:sz w:val="28"/>
                <w:szCs w:val="28"/>
                <w:lang w:eastAsia="zh-CN"/>
              </w:rPr>
            </w:pPr>
            <w:r>
              <w:rPr>
                <w:rFonts w:hint="eastAsia"/>
                <w:sz w:val="24"/>
                <w:lang w:val="en-US" w:eastAsia="zh-CN"/>
              </w:rPr>
              <w:t>客户预约</w:t>
            </w:r>
          </w:p>
        </w:tc>
        <w:tc>
          <w:tcPr>
            <w:tcW w:w="1087" w:type="pct"/>
            <w:gridSpan w:val="2"/>
            <w:noWrap w:val="0"/>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3415" w:type="pct"/>
            <w:gridSpan w:val="4"/>
            <w:noWrap w:val="0"/>
            <w:vAlign w:val="center"/>
          </w:tcPr>
          <w:p>
            <w:pPr>
              <w:spacing w:line="360" w:lineRule="auto"/>
              <w:jc w:val="center"/>
              <w:rPr>
                <w:rFonts w:hint="eastAsia" w:ascii="仿宋_GB2312" w:hAnsi="宋体" w:eastAsia="仿宋_GB2312"/>
                <w:sz w:val="28"/>
                <w:szCs w:val="28"/>
                <w:lang w:eastAsia="zh-CN"/>
              </w:rPr>
            </w:pPr>
            <w:r>
              <w:rPr>
                <w:rFonts w:hint="eastAsia"/>
                <w:sz w:val="24"/>
                <w:lang w:val="en-US" w:eastAsia="zh-CN"/>
              </w:rPr>
              <w:t>维修服务接待</w:t>
            </w:r>
          </w:p>
        </w:tc>
        <w:tc>
          <w:tcPr>
            <w:tcW w:w="1087" w:type="pct"/>
            <w:gridSpan w:val="2"/>
            <w:noWrap w:val="0"/>
            <w:vAlign w:val="center"/>
          </w:tcPr>
          <w:p>
            <w:pPr>
              <w:spacing w:line="360" w:lineRule="auto"/>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3</w:t>
            </w:r>
          </w:p>
        </w:tc>
        <w:tc>
          <w:tcPr>
            <w:tcW w:w="3415" w:type="pct"/>
            <w:gridSpan w:val="4"/>
            <w:noWrap w:val="0"/>
            <w:vAlign w:val="center"/>
          </w:tcPr>
          <w:p>
            <w:pPr>
              <w:spacing w:line="360" w:lineRule="auto"/>
              <w:jc w:val="center"/>
              <w:rPr>
                <w:rFonts w:hint="eastAsia" w:ascii="仿宋_GB2312" w:hAnsi="宋体" w:eastAsia="仿宋_GB2312"/>
                <w:sz w:val="28"/>
                <w:szCs w:val="28"/>
              </w:rPr>
            </w:pPr>
            <w:r>
              <w:rPr>
                <w:rFonts w:hint="eastAsia"/>
                <w:sz w:val="24"/>
                <w:lang w:val="en-US" w:eastAsia="zh-CN"/>
              </w:rPr>
              <w:t>高压安全防护</w:t>
            </w:r>
          </w:p>
        </w:tc>
        <w:tc>
          <w:tcPr>
            <w:tcW w:w="1087" w:type="pct"/>
            <w:gridSpan w:val="2"/>
            <w:noWrap w:val="0"/>
            <w:vAlign w:val="center"/>
          </w:tcPr>
          <w:p>
            <w:pPr>
              <w:spacing w:line="360" w:lineRule="auto"/>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c>
          <w:tcPr>
            <w:tcW w:w="3415" w:type="pct"/>
            <w:gridSpan w:val="4"/>
            <w:noWrap w:val="0"/>
            <w:vAlign w:val="center"/>
          </w:tcPr>
          <w:p>
            <w:pPr>
              <w:spacing w:line="360" w:lineRule="auto"/>
              <w:jc w:val="center"/>
              <w:rPr>
                <w:rFonts w:hint="eastAsia" w:ascii="仿宋_GB2312" w:hAnsi="宋体" w:eastAsia="仿宋_GB2312"/>
                <w:sz w:val="28"/>
                <w:szCs w:val="28"/>
                <w:lang w:eastAsia="zh-CN"/>
              </w:rPr>
            </w:pPr>
            <w:r>
              <w:rPr>
                <w:rFonts w:hint="eastAsia"/>
                <w:sz w:val="24"/>
                <w:lang w:val="en-US" w:eastAsia="zh-CN"/>
              </w:rPr>
              <w:t>动力电池及动力电池管理系统检查保养</w:t>
            </w:r>
          </w:p>
        </w:tc>
        <w:tc>
          <w:tcPr>
            <w:tcW w:w="1087" w:type="pct"/>
            <w:gridSpan w:val="2"/>
            <w:noWrap w:val="0"/>
            <w:vAlign w:val="center"/>
          </w:tcPr>
          <w:p>
            <w:pPr>
              <w:spacing w:line="360" w:lineRule="auto"/>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p>
        </w:tc>
        <w:tc>
          <w:tcPr>
            <w:tcW w:w="3415" w:type="pct"/>
            <w:gridSpan w:val="4"/>
            <w:noWrap w:val="0"/>
            <w:vAlign w:val="center"/>
          </w:tcPr>
          <w:p>
            <w:pPr>
              <w:spacing w:line="360" w:lineRule="auto"/>
              <w:jc w:val="center"/>
              <w:rPr>
                <w:rFonts w:hint="eastAsia" w:ascii="仿宋_GB2312" w:hAnsi="宋体" w:eastAsia="仿宋_GB2312"/>
                <w:sz w:val="28"/>
                <w:szCs w:val="28"/>
                <w:lang w:eastAsia="zh-CN"/>
              </w:rPr>
            </w:pPr>
            <w:r>
              <w:rPr>
                <w:rFonts w:hint="eastAsia"/>
                <w:sz w:val="24"/>
              </w:rPr>
              <w:t>驱动电机</w:t>
            </w:r>
            <w:r>
              <w:rPr>
                <w:rFonts w:hint="eastAsia"/>
                <w:sz w:val="24"/>
                <w:lang w:val="en-US" w:eastAsia="zh-CN"/>
              </w:rPr>
              <w:t>及</w:t>
            </w:r>
            <w:r>
              <w:rPr>
                <w:rFonts w:hint="eastAsia"/>
                <w:sz w:val="24"/>
              </w:rPr>
              <w:t>电机控制器的检查保养</w:t>
            </w:r>
          </w:p>
        </w:tc>
        <w:tc>
          <w:tcPr>
            <w:tcW w:w="1087" w:type="pct"/>
            <w:gridSpan w:val="2"/>
            <w:noWrap w:val="0"/>
            <w:vAlign w:val="center"/>
          </w:tcPr>
          <w:p>
            <w:pPr>
              <w:spacing w:line="360" w:lineRule="auto"/>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c>
          <w:tcPr>
            <w:tcW w:w="3415" w:type="pct"/>
            <w:gridSpan w:val="4"/>
            <w:noWrap w:val="0"/>
            <w:vAlign w:val="center"/>
          </w:tcPr>
          <w:p>
            <w:pPr>
              <w:spacing w:line="360" w:lineRule="auto"/>
              <w:jc w:val="center"/>
              <w:rPr>
                <w:rFonts w:hint="eastAsia" w:ascii="仿宋_GB2312" w:hAnsi="宋体" w:eastAsia="仿宋_GB2312"/>
                <w:sz w:val="28"/>
                <w:szCs w:val="28"/>
                <w:lang w:eastAsia="zh-CN"/>
              </w:rPr>
            </w:pPr>
            <w:r>
              <w:rPr>
                <w:rFonts w:hint="eastAsia"/>
                <w:sz w:val="24"/>
              </w:rPr>
              <w:t>充电系统的检查保养</w:t>
            </w:r>
          </w:p>
        </w:tc>
        <w:tc>
          <w:tcPr>
            <w:tcW w:w="1087" w:type="pct"/>
            <w:gridSpan w:val="2"/>
            <w:noWrap w:val="0"/>
            <w:vAlign w:val="center"/>
          </w:tcPr>
          <w:p>
            <w:pPr>
              <w:spacing w:line="360" w:lineRule="auto"/>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w:t>
            </w:r>
          </w:p>
        </w:tc>
        <w:tc>
          <w:tcPr>
            <w:tcW w:w="3415" w:type="pct"/>
            <w:gridSpan w:val="4"/>
            <w:noWrap w:val="0"/>
            <w:vAlign w:val="center"/>
          </w:tcPr>
          <w:p>
            <w:pPr>
              <w:spacing w:line="360" w:lineRule="auto"/>
              <w:jc w:val="center"/>
              <w:rPr>
                <w:rFonts w:hint="eastAsia" w:ascii="仿宋_GB2312" w:hAnsi="宋体" w:eastAsia="仿宋_GB2312"/>
                <w:sz w:val="28"/>
                <w:szCs w:val="28"/>
                <w:lang w:eastAsia="zh-CN"/>
              </w:rPr>
            </w:pPr>
            <w:r>
              <w:rPr>
                <w:rFonts w:hint="eastAsia"/>
                <w:sz w:val="24"/>
              </w:rPr>
              <w:t>DC-DC转换器的检查保养</w:t>
            </w:r>
          </w:p>
        </w:tc>
        <w:tc>
          <w:tcPr>
            <w:tcW w:w="1087" w:type="pct"/>
            <w:gridSpan w:val="2"/>
            <w:noWrap w:val="0"/>
            <w:vAlign w:val="center"/>
          </w:tcPr>
          <w:p>
            <w:pPr>
              <w:spacing w:line="360" w:lineRule="auto"/>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w:t>
            </w:r>
          </w:p>
        </w:tc>
        <w:tc>
          <w:tcPr>
            <w:tcW w:w="3415" w:type="pct"/>
            <w:gridSpan w:val="4"/>
            <w:noWrap w:val="0"/>
            <w:vAlign w:val="center"/>
          </w:tcPr>
          <w:p>
            <w:pPr>
              <w:spacing w:line="360" w:lineRule="auto"/>
              <w:jc w:val="center"/>
              <w:rPr>
                <w:rFonts w:hint="eastAsia" w:ascii="仿宋_GB2312" w:hAnsi="宋体" w:eastAsia="仿宋_GB2312"/>
                <w:sz w:val="28"/>
                <w:szCs w:val="28"/>
              </w:rPr>
            </w:pPr>
            <w:r>
              <w:rPr>
                <w:rFonts w:hint="eastAsia"/>
                <w:kern w:val="2"/>
                <w:sz w:val="24"/>
                <w:szCs w:val="24"/>
                <w:lang w:val="en-US" w:eastAsia="zh-CN" w:bidi="ar-SA"/>
              </w:rPr>
              <w:t>检查与维护高压附件</w:t>
            </w:r>
          </w:p>
        </w:tc>
        <w:tc>
          <w:tcPr>
            <w:tcW w:w="1087" w:type="pct"/>
            <w:gridSpan w:val="2"/>
            <w:noWrap w:val="0"/>
            <w:vAlign w:val="center"/>
          </w:tcPr>
          <w:p>
            <w:pPr>
              <w:spacing w:line="360" w:lineRule="auto"/>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9</w:t>
            </w:r>
          </w:p>
        </w:tc>
        <w:tc>
          <w:tcPr>
            <w:tcW w:w="3415" w:type="pct"/>
            <w:gridSpan w:val="4"/>
            <w:noWrap w:val="0"/>
            <w:vAlign w:val="center"/>
          </w:tcPr>
          <w:p>
            <w:pPr>
              <w:spacing w:line="360" w:lineRule="auto"/>
              <w:jc w:val="center"/>
              <w:rPr>
                <w:rFonts w:hint="eastAsia" w:ascii="仿宋_GB2312" w:hAnsi="宋体" w:eastAsia="仿宋_GB2312"/>
                <w:sz w:val="28"/>
                <w:szCs w:val="28"/>
                <w:lang w:eastAsia="zh-CN"/>
              </w:rPr>
            </w:pPr>
            <w:r>
              <w:rPr>
                <w:rFonts w:hint="eastAsia"/>
                <w:sz w:val="24"/>
              </w:rPr>
              <w:t>冷却系统泄漏检查与冷却液更换</w:t>
            </w:r>
          </w:p>
        </w:tc>
        <w:tc>
          <w:tcPr>
            <w:tcW w:w="1087" w:type="pct"/>
            <w:gridSpan w:val="2"/>
            <w:noWrap w:val="0"/>
            <w:vAlign w:val="center"/>
          </w:tcPr>
          <w:p>
            <w:pPr>
              <w:spacing w:line="360" w:lineRule="auto"/>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10</w:t>
            </w:r>
          </w:p>
        </w:tc>
        <w:tc>
          <w:tcPr>
            <w:tcW w:w="3415" w:type="pct"/>
            <w:gridSpan w:val="4"/>
            <w:noWrap w:val="0"/>
            <w:vAlign w:val="center"/>
          </w:tcPr>
          <w:p>
            <w:pPr>
              <w:spacing w:line="360" w:lineRule="auto"/>
              <w:jc w:val="center"/>
              <w:rPr>
                <w:rFonts w:hint="eastAsia" w:ascii="仿宋_GB2312" w:hAnsi="宋体" w:eastAsia="仿宋_GB2312"/>
                <w:sz w:val="28"/>
                <w:szCs w:val="28"/>
                <w:lang w:eastAsia="zh-CN"/>
              </w:rPr>
            </w:pPr>
            <w:r>
              <w:rPr>
                <w:rFonts w:hint="eastAsia"/>
                <w:sz w:val="24"/>
              </w:rPr>
              <w:t>空调制冷系统的检查保养</w:t>
            </w:r>
          </w:p>
        </w:tc>
        <w:tc>
          <w:tcPr>
            <w:tcW w:w="1087" w:type="pct"/>
            <w:gridSpan w:val="2"/>
            <w:noWrap w:val="0"/>
            <w:vAlign w:val="center"/>
          </w:tcPr>
          <w:p>
            <w:pPr>
              <w:spacing w:line="360" w:lineRule="auto"/>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11</w:t>
            </w:r>
          </w:p>
        </w:tc>
        <w:tc>
          <w:tcPr>
            <w:tcW w:w="3415" w:type="pct"/>
            <w:gridSpan w:val="4"/>
            <w:noWrap w:val="0"/>
            <w:vAlign w:val="center"/>
          </w:tcPr>
          <w:p>
            <w:pPr>
              <w:spacing w:line="360" w:lineRule="auto"/>
              <w:jc w:val="center"/>
              <w:rPr>
                <w:rFonts w:hint="eastAsia" w:ascii="仿宋_GB2312" w:hAnsi="宋体" w:eastAsia="仿宋_GB2312"/>
                <w:sz w:val="28"/>
                <w:szCs w:val="28"/>
                <w:lang w:eastAsia="zh-CN"/>
              </w:rPr>
            </w:pPr>
            <w:r>
              <w:rPr>
                <w:rFonts w:hint="eastAsia"/>
                <w:kern w:val="2"/>
                <w:sz w:val="24"/>
                <w:szCs w:val="24"/>
                <w:lang w:val="en-US" w:eastAsia="zh-CN" w:bidi="ar-SA"/>
              </w:rPr>
              <w:t>电动车制动、行驶、转向系统检查保养</w:t>
            </w:r>
          </w:p>
        </w:tc>
        <w:tc>
          <w:tcPr>
            <w:tcW w:w="1087" w:type="pct"/>
            <w:gridSpan w:val="2"/>
            <w:noWrap w:val="0"/>
            <w:vAlign w:val="center"/>
          </w:tcPr>
          <w:p>
            <w:pPr>
              <w:spacing w:line="360" w:lineRule="auto"/>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12</w:t>
            </w:r>
          </w:p>
        </w:tc>
        <w:tc>
          <w:tcPr>
            <w:tcW w:w="3415" w:type="pct"/>
            <w:gridSpan w:val="4"/>
            <w:noWrap w:val="0"/>
            <w:vAlign w:val="center"/>
          </w:tcPr>
          <w:p>
            <w:pPr>
              <w:spacing w:line="360" w:lineRule="auto"/>
              <w:jc w:val="center"/>
              <w:rPr>
                <w:rFonts w:hint="eastAsia" w:ascii="仿宋_GB2312" w:hAnsi="宋体" w:eastAsia="仿宋_GB2312"/>
                <w:sz w:val="28"/>
                <w:szCs w:val="28"/>
                <w:lang w:eastAsia="zh-CN"/>
              </w:rPr>
            </w:pPr>
            <w:r>
              <w:rPr>
                <w:rFonts w:hint="eastAsia"/>
                <w:kern w:val="2"/>
                <w:sz w:val="24"/>
                <w:szCs w:val="24"/>
                <w:lang w:val="en-US" w:eastAsia="zh-CN" w:bidi="ar-SA"/>
              </w:rPr>
              <w:t>低压电器系统检查与保养</w:t>
            </w:r>
          </w:p>
        </w:tc>
        <w:tc>
          <w:tcPr>
            <w:tcW w:w="1087" w:type="pct"/>
            <w:gridSpan w:val="2"/>
            <w:noWrap w:val="0"/>
            <w:vAlign w:val="center"/>
          </w:tcPr>
          <w:p>
            <w:pPr>
              <w:spacing w:line="360" w:lineRule="auto"/>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13</w:t>
            </w:r>
          </w:p>
        </w:tc>
        <w:tc>
          <w:tcPr>
            <w:tcW w:w="3415" w:type="pct"/>
            <w:gridSpan w:val="4"/>
            <w:noWrap w:val="0"/>
            <w:vAlign w:val="center"/>
          </w:tcPr>
          <w:p>
            <w:pPr>
              <w:spacing w:line="360" w:lineRule="auto"/>
              <w:jc w:val="center"/>
              <w:rPr>
                <w:rFonts w:hint="eastAsia" w:ascii="仿宋_GB2312" w:hAnsi="宋体" w:eastAsia="仿宋_GB2312"/>
                <w:sz w:val="28"/>
                <w:szCs w:val="28"/>
                <w:lang w:eastAsia="zh-CN"/>
              </w:rPr>
            </w:pPr>
            <w:r>
              <w:rPr>
                <w:rFonts w:hint="eastAsia"/>
                <w:sz w:val="24"/>
                <w:lang w:val="en-US" w:eastAsia="zh-CN"/>
              </w:rPr>
              <w:t>新能源汽车举升机不同位置的维护作业</w:t>
            </w:r>
          </w:p>
        </w:tc>
        <w:tc>
          <w:tcPr>
            <w:tcW w:w="1087" w:type="pct"/>
            <w:gridSpan w:val="2"/>
            <w:noWrap w:val="0"/>
            <w:vAlign w:val="center"/>
          </w:tcPr>
          <w:p>
            <w:pPr>
              <w:spacing w:line="360" w:lineRule="auto"/>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7" w:type="pct"/>
            <w:noWrap w:val="0"/>
            <w:vAlign w:val="center"/>
          </w:tcPr>
          <w:p>
            <w:pPr>
              <w:spacing w:line="360" w:lineRule="auto"/>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14</w:t>
            </w:r>
          </w:p>
        </w:tc>
        <w:tc>
          <w:tcPr>
            <w:tcW w:w="3415" w:type="pct"/>
            <w:gridSpan w:val="4"/>
            <w:noWrap w:val="0"/>
            <w:vAlign w:val="center"/>
          </w:tcPr>
          <w:p>
            <w:pPr>
              <w:spacing w:line="360" w:lineRule="auto"/>
              <w:jc w:val="center"/>
              <w:rPr>
                <w:rFonts w:hint="eastAsia" w:ascii="仿宋_GB2312" w:hAnsi="宋体" w:eastAsia="仿宋_GB2312"/>
                <w:sz w:val="28"/>
                <w:szCs w:val="28"/>
                <w:lang w:eastAsia="zh-CN"/>
              </w:rPr>
            </w:pPr>
            <w:r>
              <w:rPr>
                <w:rFonts w:hint="eastAsia"/>
                <w:sz w:val="24"/>
                <w:lang w:val="en-US" w:eastAsia="zh-CN"/>
              </w:rPr>
              <w:t>电动汽</w:t>
            </w:r>
            <w:r>
              <w:rPr>
                <w:rFonts w:hint="eastAsia"/>
                <w:sz w:val="24"/>
              </w:rPr>
              <w:t>车PDI检查</w:t>
            </w:r>
          </w:p>
        </w:tc>
        <w:tc>
          <w:tcPr>
            <w:tcW w:w="1087" w:type="pct"/>
            <w:gridSpan w:val="2"/>
            <w:noWrap w:val="0"/>
            <w:vAlign w:val="center"/>
          </w:tcPr>
          <w:p>
            <w:pPr>
              <w:spacing w:line="360" w:lineRule="auto"/>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7"/>
            <w:noWrap w:val="0"/>
            <w:vAlign w:val="center"/>
          </w:tcPr>
          <w:p>
            <w:pPr>
              <w:pStyle w:val="3"/>
              <w:spacing w:before="0" w:after="0" w:line="360" w:lineRule="auto"/>
              <w:rPr>
                <w:rFonts w:hint="eastAsia" w:ascii="仿宋_GB2312" w:hAnsi="宋体"/>
                <w:b w:val="0"/>
              </w:rPr>
            </w:pPr>
            <w:bookmarkStart w:id="15" w:name="_Toc15285"/>
            <w:bookmarkStart w:id="16" w:name="_Toc29500412"/>
            <w:r>
              <w:rPr>
                <w:rFonts w:hint="eastAsia" w:ascii="黑体" w:hAnsi="黑体" w:eastAsia="黑体"/>
                <w:b w:val="0"/>
                <w:sz w:val="30"/>
                <w:szCs w:val="30"/>
              </w:rPr>
              <w:t>六、教学实施建议</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7"/>
            <w:noWrap w:val="0"/>
            <w:vAlign w:val="center"/>
          </w:tcPr>
          <w:p>
            <w:pPr>
              <w:numPr>
                <w:ilvl w:val="0"/>
                <w:numId w:val="4"/>
              </w:numPr>
              <w:spacing w:line="360" w:lineRule="auto"/>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教学组织方式方法建议采用行动导向的教学方法。为保证教学安全与实践效果，建议采取分组教学的形式，每组5</w:t>
            </w:r>
            <w:r>
              <w:rPr>
                <w:rFonts w:hint="eastAsia" w:ascii="仿宋_GB2312" w:hAnsi="Times New Roman" w:eastAsia="仿宋_GB2312" w:cs="Times New Roman"/>
                <w:color w:val="000000"/>
                <w:sz w:val="28"/>
                <w:szCs w:val="28"/>
                <w:lang w:val="en-US" w:eastAsia="zh-CN"/>
              </w:rPr>
              <w:t>-</w:t>
            </w:r>
            <w:r>
              <w:rPr>
                <w:rFonts w:hint="eastAsia" w:ascii="仿宋_GB2312" w:hAnsi="Times New Roman" w:eastAsia="仿宋_GB2312" w:cs="Times New Roman"/>
                <w:color w:val="000000"/>
                <w:sz w:val="28"/>
                <w:szCs w:val="28"/>
              </w:rPr>
              <w:t>8人。在完成工作任务的过程中，教师须加强示范与指导，注重学生职业素养和规范操作的培养。</w:t>
            </w:r>
          </w:p>
          <w:p>
            <w:pPr>
              <w:numPr>
                <w:ilvl w:val="0"/>
                <w:numId w:val="4"/>
              </w:numPr>
              <w:spacing w:line="360" w:lineRule="auto"/>
              <w:ind w:left="0" w:leftChars="0"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教学资源配备建议</w:t>
            </w:r>
          </w:p>
          <w:p>
            <w:pPr>
              <w:numPr>
                <w:ilvl w:val="0"/>
                <w:numId w:val="5"/>
              </w:numPr>
              <w:spacing w:line="360" w:lineRule="auto"/>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教学场地一体化学习工作站须具备良好的安全、照明和通风条件，可分为集中理论教学区、分组实践教学区、信息检索区、工具存放区和成果展示区，并配备相应的多媒体教学设备、压缩空气供给系统等设施，面积以至少同时容纳35人开展教学活动为宜。</w:t>
            </w:r>
          </w:p>
          <w:p>
            <w:pPr>
              <w:numPr>
                <w:ilvl w:val="0"/>
                <w:numId w:val="0"/>
              </w:numPr>
              <w:spacing w:line="360" w:lineRule="auto"/>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lang w:eastAsia="zh-CN"/>
              </w:rPr>
              <w:t>（</w:t>
            </w:r>
            <w:r>
              <w:rPr>
                <w:rFonts w:hint="eastAsia" w:ascii="仿宋_GB2312" w:hAnsi="Times New Roman" w:eastAsia="仿宋_GB2312" w:cs="Times New Roman"/>
                <w:color w:val="000000"/>
                <w:sz w:val="28"/>
                <w:szCs w:val="28"/>
                <w:lang w:val="en-US" w:eastAsia="zh-CN"/>
              </w:rPr>
              <w:t>2</w:t>
            </w:r>
            <w:r>
              <w:rPr>
                <w:rFonts w:hint="eastAsia" w:ascii="仿宋_GB2312" w:hAnsi="Times New Roman" w:eastAsia="仿宋_GB2312" w:cs="Times New Roman"/>
                <w:color w:val="000000"/>
                <w:sz w:val="28"/>
                <w:szCs w:val="28"/>
                <w:lang w:eastAsia="zh-CN"/>
              </w:rPr>
              <w:t>）</w:t>
            </w:r>
            <w:r>
              <w:rPr>
                <w:rFonts w:hint="eastAsia" w:ascii="仿宋_GB2312" w:hAnsi="Times New Roman" w:eastAsia="仿宋_GB2312" w:cs="Times New Roman"/>
                <w:color w:val="000000"/>
                <w:sz w:val="28"/>
                <w:szCs w:val="28"/>
              </w:rPr>
              <w:t>工具、材料、设备按组配备：绝缘工具套装、通用工具、专用工具、量具、扭力扳手、万用表、汽车故障诊断仪、绝缘测试仪、举升机、废液废品收集装置、隔离带、警示牌、电工胶布、防护用品、油（液／脂）料、修理包、零配件等。</w:t>
            </w:r>
          </w:p>
          <w:p>
            <w:pPr>
              <w:numPr>
                <w:ilvl w:val="0"/>
                <w:numId w:val="0"/>
              </w:numPr>
              <w:spacing w:line="360" w:lineRule="auto"/>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(3）教学资料以工作页为主，配备教学参考书、使用说明书、维修资料、电路图、多媒体资料，以及网络在线学习资源等。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7"/>
            <w:noWrap w:val="0"/>
            <w:vAlign w:val="center"/>
          </w:tcPr>
          <w:p>
            <w:pPr>
              <w:pStyle w:val="3"/>
              <w:spacing w:before="0" w:after="0" w:line="360" w:lineRule="auto"/>
              <w:rPr>
                <w:rFonts w:hint="eastAsia" w:ascii="仿宋_GB2312" w:hAnsi="宋体"/>
                <w:b w:val="0"/>
              </w:rPr>
            </w:pPr>
            <w:bookmarkStart w:id="17" w:name="_Toc29500413"/>
            <w:bookmarkStart w:id="18" w:name="_Toc9722"/>
            <w:r>
              <w:rPr>
                <w:rFonts w:hint="eastAsia" w:ascii="黑体" w:hAnsi="黑体" w:eastAsia="黑体"/>
                <w:b w:val="0"/>
                <w:sz w:val="30"/>
                <w:szCs w:val="30"/>
              </w:rPr>
              <w:t>七、教学考核</w:t>
            </w:r>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7"/>
            <w:noWrap w:val="0"/>
            <w:vAlign w:val="center"/>
          </w:tcPr>
          <w:p>
            <w:pPr>
              <w:spacing w:line="360"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采用过程性考核与终结性考核相结合的方式。</w:t>
            </w:r>
          </w:p>
          <w:p>
            <w:pPr>
              <w:numPr>
                <w:ilvl w:val="0"/>
                <w:numId w:val="6"/>
              </w:numPr>
              <w:spacing w:line="360"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过程性考核采用自我评价、小组评价和教师评价相结合的方式进行考核，教师要善于观察学生的学习过程，参照学生自我评价、小组评价进行总评并提出改进建议。</w:t>
            </w:r>
          </w:p>
          <w:p>
            <w:pPr>
              <w:numPr>
                <w:ilvl w:val="0"/>
                <w:numId w:val="7"/>
              </w:numPr>
              <w:spacing w:line="360"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课堂考核：考核出勤、学习态度、课堂纪律、小组合作与展示等情况。</w:t>
            </w:r>
          </w:p>
          <w:p>
            <w:pPr>
              <w:numPr>
                <w:ilvl w:val="0"/>
                <w:numId w:val="7"/>
              </w:numPr>
              <w:spacing w:line="360" w:lineRule="auto"/>
              <w:ind w:left="0" w:leftChars="0" w:firstLine="560" w:firstLineChars="200"/>
              <w:rPr>
                <w:rFonts w:hint="eastAsia" w:ascii="仿宋_GB2312" w:eastAsia="仿宋_GB2312"/>
                <w:color w:val="000000"/>
                <w:sz w:val="28"/>
                <w:szCs w:val="28"/>
              </w:rPr>
            </w:pPr>
            <w:r>
              <w:rPr>
                <w:rFonts w:hint="eastAsia" w:ascii="仿宋_GB2312" w:eastAsia="仿宋_GB2312"/>
                <w:color w:val="000000"/>
                <w:sz w:val="28"/>
                <w:szCs w:val="28"/>
              </w:rPr>
              <w:t>作业考核：考核工作页的完成、课后练习等情况。</w:t>
            </w:r>
          </w:p>
          <w:p>
            <w:pPr>
              <w:numPr>
                <w:ilvl w:val="0"/>
                <w:numId w:val="7"/>
              </w:numPr>
              <w:spacing w:line="360" w:lineRule="auto"/>
              <w:ind w:left="0" w:leftChars="0" w:firstLine="560" w:firstLineChars="200"/>
              <w:rPr>
                <w:rFonts w:hint="eastAsia" w:ascii="仿宋_GB2312" w:eastAsia="仿宋_GB2312"/>
                <w:color w:val="000000"/>
                <w:sz w:val="28"/>
                <w:szCs w:val="28"/>
              </w:rPr>
            </w:pPr>
            <w:r>
              <w:rPr>
                <w:rFonts w:hint="eastAsia" w:ascii="仿宋_GB2312" w:eastAsia="仿宋_GB2312"/>
                <w:color w:val="000000"/>
                <w:sz w:val="28"/>
                <w:szCs w:val="28"/>
              </w:rPr>
              <w:t>阶段考核：可视情采用纸笔测试、实操测试、口述测试、在线测试等形式。</w:t>
            </w:r>
          </w:p>
          <w:p>
            <w:pPr>
              <w:numPr>
                <w:ilvl w:val="0"/>
                <w:numId w:val="6"/>
              </w:numPr>
              <w:spacing w:line="360" w:lineRule="auto"/>
              <w:ind w:left="0" w:leftChars="0" w:firstLine="560" w:firstLineChars="200"/>
              <w:rPr>
                <w:rFonts w:hint="eastAsia" w:ascii="仿宋_GB2312" w:eastAsia="仿宋_GB2312"/>
                <w:color w:val="000000"/>
                <w:sz w:val="28"/>
                <w:szCs w:val="28"/>
              </w:rPr>
            </w:pPr>
            <w:r>
              <w:rPr>
                <w:rFonts w:hint="eastAsia" w:ascii="仿宋_GB2312" w:eastAsia="仿宋_GB2312"/>
                <w:color w:val="000000"/>
                <w:sz w:val="28"/>
                <w:szCs w:val="28"/>
              </w:rPr>
              <w:t>终结性考核学生根据任务情境中的要求，根据维修工单确定维护项目作业方案。按照作业规范，在规定时间内完成新能源汽车的检查与常规维护作业。</w:t>
            </w:r>
          </w:p>
          <w:p>
            <w:pPr>
              <w:numPr>
                <w:ilvl w:val="0"/>
                <w:numId w:val="0"/>
              </w:numPr>
              <w:spacing w:line="360" w:lineRule="auto"/>
              <w:ind w:leftChars="200"/>
              <w:rPr>
                <w:rFonts w:hint="eastAsia" w:ascii="仿宋_GB2312" w:hAnsi="宋体" w:eastAsia="仿宋_GB2312"/>
                <w:sz w:val="28"/>
                <w:szCs w:val="28"/>
              </w:rPr>
            </w:pPr>
            <w:r>
              <w:rPr>
                <w:rFonts w:hint="eastAsia" w:ascii="仿宋_GB2312" w:hAnsi="宋体" w:eastAsia="仿宋_GB2312"/>
                <w:sz w:val="28"/>
                <w:szCs w:val="28"/>
              </w:rPr>
              <w:t>3.课程成绩计算</w:t>
            </w:r>
          </w:p>
          <w:p>
            <w:pPr>
              <w:spacing w:line="360" w:lineRule="auto"/>
              <w:ind w:firstLine="280" w:firstLineChars="100"/>
              <w:rPr>
                <w:rFonts w:hint="eastAsia" w:ascii="仿宋_GB2312" w:eastAsia="仿宋_GB2312"/>
                <w:color w:val="000000"/>
                <w:sz w:val="28"/>
                <w:szCs w:val="28"/>
              </w:rPr>
            </w:pPr>
            <w:r>
              <w:rPr>
                <w:rFonts w:hint="eastAsia" w:ascii="仿宋_GB2312" w:hAnsi="宋体" w:eastAsia="仿宋_GB2312"/>
                <w:sz w:val="28"/>
                <w:szCs w:val="28"/>
              </w:rPr>
              <w:t>课程成绩＝学习任务成绩×</w:t>
            </w:r>
            <w:r>
              <w:rPr>
                <w:rFonts w:hint="eastAsia" w:ascii="仿宋_GB2312" w:eastAsia="仿宋_GB2312"/>
                <w:color w:val="000000"/>
                <w:sz w:val="28"/>
                <w:szCs w:val="28"/>
              </w:rPr>
              <w:t>60</w:t>
            </w:r>
            <w:r>
              <w:rPr>
                <w:rFonts w:hint="eastAsia" w:ascii="仿宋_GB2312" w:hAnsi="宋体" w:eastAsia="仿宋_GB2312"/>
                <w:color w:val="000000"/>
                <w:sz w:val="28"/>
                <w:szCs w:val="28"/>
              </w:rPr>
              <w:t>%＋课程终极考核</w:t>
            </w:r>
            <w:r>
              <w:rPr>
                <w:rFonts w:hint="eastAsia" w:ascii="仿宋_GB2312" w:hAnsi="宋体" w:eastAsia="仿宋_GB2312"/>
                <w:sz w:val="28"/>
                <w:szCs w:val="28"/>
              </w:rPr>
              <w:t>×</w:t>
            </w:r>
            <w:r>
              <w:rPr>
                <w:rFonts w:hint="eastAsia" w:ascii="仿宋_GB2312" w:eastAsia="仿宋_GB2312"/>
                <w:color w:val="000000"/>
                <w:sz w:val="28"/>
                <w:szCs w:val="28"/>
              </w:rPr>
              <w:t>40</w:t>
            </w:r>
            <w:r>
              <w:rPr>
                <w:rFonts w:hint="eastAsia" w:ascii="仿宋_GB2312" w:hAnsi="宋体" w:eastAsia="仿宋_GB2312"/>
                <w:color w:val="000000"/>
                <w:sz w:val="28"/>
                <w:szCs w:val="28"/>
              </w:rPr>
              <w:t>%。</w:t>
            </w:r>
          </w:p>
          <w:p>
            <w:pPr>
              <w:spacing w:line="360" w:lineRule="auto"/>
              <w:rPr>
                <w:rFonts w:hint="eastAsia" w:ascii="仿宋_GB2312" w:hAnsi="宋体" w:eastAsia="仿宋_GB2312"/>
                <w:sz w:val="28"/>
                <w:szCs w:val="28"/>
              </w:rPr>
            </w:pPr>
          </w:p>
        </w:tc>
      </w:tr>
      <w:bookmarkEnd w:id="4"/>
    </w:tbl>
    <w:p>
      <w:pPr>
        <w:pStyle w:val="2"/>
        <w:spacing w:before="0" w:after="0" w:line="360" w:lineRule="auto"/>
        <w:jc w:val="center"/>
        <w:outlineLvl w:val="9"/>
        <w:rPr>
          <w:rFonts w:hint="eastAsia" w:ascii="方正小标宋简体" w:eastAsia="方正小标宋简体"/>
          <w:b/>
          <w:sz w:val="44"/>
          <w:szCs w:val="36"/>
        </w:rPr>
      </w:pPr>
    </w:p>
    <w:p>
      <w:pPr>
        <w:rPr>
          <w:rFonts w:hint="eastAsia"/>
        </w:rPr>
      </w:pPr>
    </w:p>
    <w:p/>
    <w:p/>
    <w:p/>
    <w:p/>
    <w:p/>
    <w:p>
      <w:pPr>
        <w:jc w:val="center"/>
        <w:rPr>
          <w:rFonts w:hint="eastAsia" w:ascii="Calibri" w:hAnsi="Calibri" w:cs="Arial"/>
          <w:kern w:val="0"/>
          <w:sz w:val="32"/>
          <w:szCs w:val="32"/>
        </w:rPr>
      </w:pPr>
    </w:p>
    <w:p>
      <w:pPr>
        <w:jc w:val="center"/>
        <w:rPr>
          <w:rFonts w:ascii="Calibri" w:hAnsi="Calibri" w:cs="Arial"/>
          <w:kern w:val="0"/>
          <w:sz w:val="32"/>
          <w:szCs w:val="32"/>
        </w:rPr>
      </w:pPr>
    </w:p>
    <w:p>
      <w:pPr>
        <w:jc w:val="center"/>
        <w:rPr>
          <w:rFonts w:ascii="Calibri" w:hAnsi="Calibri" w:cs="Arial"/>
          <w:kern w:val="0"/>
          <w:sz w:val="32"/>
          <w:szCs w:val="32"/>
        </w:rPr>
      </w:pPr>
    </w:p>
    <w:p>
      <w:pPr>
        <w:jc w:val="center"/>
        <w:rPr>
          <w:rFonts w:hint="eastAsia" w:ascii="Calibri" w:hAnsi="Calibri" w:cs="Arial"/>
          <w:kern w:val="0"/>
          <w:sz w:val="32"/>
          <w:szCs w:val="32"/>
        </w:rPr>
      </w:pPr>
    </w:p>
    <w:p>
      <w:pPr>
        <w:jc w:val="center"/>
        <w:rPr>
          <w:rFonts w:ascii="Calibri" w:hAnsi="Calibri" w:cs="Arial"/>
          <w:sz w:val="36"/>
          <w:szCs w:val="36"/>
        </w:rPr>
      </w:pPr>
      <w:r>
        <w:rPr>
          <w:rFonts w:ascii="Calibri" w:hAnsi="Calibri" w:cs="Arial"/>
          <w:sz w:val="36"/>
          <w:szCs w:val="36"/>
        </w:rPr>
        <w:drawing>
          <wp:inline distT="0" distB="0" distL="114300" distR="114300">
            <wp:extent cx="4251325" cy="889635"/>
            <wp:effectExtent l="0" t="0" r="15875" b="571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Rot="1" noChangeAspect="1"/>
                    </pic:cNvPicPr>
                  </pic:nvPicPr>
                  <pic:blipFill>
                    <a:blip r:embed="rId9"/>
                    <a:stretch>
                      <a:fillRect/>
                    </a:stretch>
                  </pic:blipFill>
                  <pic:spPr>
                    <a:xfrm>
                      <a:off x="0" y="0"/>
                      <a:ext cx="4251325" cy="889635"/>
                    </a:xfrm>
                    <a:prstGeom prst="rect">
                      <a:avLst/>
                    </a:prstGeom>
                    <a:noFill/>
                    <a:ln>
                      <a:noFill/>
                    </a:ln>
                  </pic:spPr>
                </pic:pic>
              </a:graphicData>
            </a:graphic>
          </wp:inline>
        </w:drawing>
      </w:r>
      <w:r>
        <w:rPr>
          <w:rFonts w:ascii="Calibri" w:hAnsi="Calibri" w:cs="Arial"/>
          <w:sz w:val="36"/>
          <w:szCs w:val="36"/>
        </w:rPr>
        <w:t xml:space="preserve"> </w:t>
      </w:r>
    </w:p>
    <w:p>
      <w:pPr>
        <w:jc w:val="center"/>
        <w:rPr>
          <w:rFonts w:hint="eastAsia" w:ascii="Calibri" w:hAnsi="Calibri" w:cs="Arial"/>
          <w:sz w:val="36"/>
          <w:szCs w:val="36"/>
        </w:rPr>
      </w:pPr>
    </w:p>
    <w:p>
      <w:pPr>
        <w:jc w:val="center"/>
        <w:outlineLvl w:val="0"/>
        <w:rPr>
          <w:rFonts w:hint="eastAsia" w:ascii="黑体" w:hAnsi="黑体" w:eastAsia="黑体" w:cs="Arial"/>
          <w:b/>
          <w:bCs/>
          <w:sz w:val="44"/>
          <w:szCs w:val="44"/>
        </w:rPr>
      </w:pPr>
      <w:bookmarkStart w:id="19" w:name="_Toc30396"/>
      <w:r>
        <w:rPr>
          <w:rFonts w:hint="eastAsia" w:ascii="黑体" w:hAnsi="黑体" w:eastAsia="黑体" w:cs="Arial"/>
          <w:b/>
          <w:bCs/>
          <w:sz w:val="44"/>
          <w:szCs w:val="44"/>
        </w:rPr>
        <w:t>新能源汽车检测与维修专业</w:t>
      </w:r>
      <w:bookmarkEnd w:id="19"/>
    </w:p>
    <w:p>
      <w:pPr>
        <w:jc w:val="center"/>
        <w:outlineLvl w:val="0"/>
        <w:rPr>
          <w:rFonts w:ascii="黑体" w:hAnsi="黑体" w:eastAsia="黑体" w:cs="Arial"/>
          <w:b/>
          <w:sz w:val="44"/>
          <w:szCs w:val="44"/>
        </w:rPr>
      </w:pPr>
      <w:bookmarkStart w:id="20" w:name="_Toc16884"/>
      <w:r>
        <w:rPr>
          <w:rFonts w:hint="eastAsia" w:ascii="黑体" w:hAnsi="黑体" w:eastAsia="黑体" w:cs="Arial"/>
          <w:b/>
          <w:bCs/>
          <w:sz w:val="44"/>
          <w:szCs w:val="44"/>
        </w:rPr>
        <w:t>《电动汽车</w:t>
      </w:r>
      <w:r>
        <w:rPr>
          <w:rFonts w:hint="eastAsia" w:ascii="黑体" w:hAnsi="黑体" w:eastAsia="黑体" w:cs="Arial"/>
          <w:b/>
          <w:bCs/>
          <w:sz w:val="44"/>
          <w:szCs w:val="44"/>
          <w:lang w:eastAsia="zh-CN"/>
        </w:rPr>
        <w:t>结</w:t>
      </w:r>
      <w:r>
        <w:rPr>
          <w:rFonts w:hint="eastAsia" w:ascii="黑体" w:hAnsi="黑体" w:eastAsia="黑体" w:cs="Arial"/>
          <w:b/>
          <w:bCs/>
          <w:sz w:val="44"/>
          <w:szCs w:val="44"/>
        </w:rPr>
        <w:t>构</w:t>
      </w:r>
      <w:r>
        <w:rPr>
          <w:rFonts w:hint="eastAsia" w:ascii="黑体" w:hAnsi="黑体" w:eastAsia="黑体" w:cs="Arial"/>
          <w:b/>
          <w:bCs/>
          <w:sz w:val="44"/>
          <w:szCs w:val="44"/>
          <w:lang w:eastAsia="zh-CN"/>
        </w:rPr>
        <w:t>原理</w:t>
      </w:r>
      <w:r>
        <w:rPr>
          <w:rFonts w:hint="eastAsia" w:ascii="黑体" w:hAnsi="黑体" w:eastAsia="黑体" w:cs="Arial"/>
          <w:b/>
          <w:bCs/>
          <w:sz w:val="44"/>
          <w:szCs w:val="44"/>
        </w:rPr>
        <w:t>与</w:t>
      </w:r>
      <w:r>
        <w:rPr>
          <w:rFonts w:hint="eastAsia" w:ascii="黑体" w:hAnsi="黑体" w:eastAsia="黑体" w:cs="Arial"/>
          <w:b/>
          <w:bCs/>
          <w:sz w:val="44"/>
          <w:szCs w:val="44"/>
          <w:lang w:eastAsia="zh-CN"/>
        </w:rPr>
        <w:t>检</w:t>
      </w:r>
      <w:r>
        <w:rPr>
          <w:rFonts w:hint="eastAsia" w:ascii="黑体" w:hAnsi="黑体" w:eastAsia="黑体" w:cs="Arial"/>
          <w:b/>
          <w:bCs/>
          <w:sz w:val="44"/>
          <w:szCs w:val="44"/>
        </w:rPr>
        <w:t>修》一体化</w:t>
      </w:r>
      <w:r>
        <w:rPr>
          <w:rFonts w:hint="eastAsia" w:ascii="黑体" w:hAnsi="黑体" w:eastAsia="黑体" w:cs="Arial"/>
          <w:b/>
          <w:sz w:val="44"/>
          <w:szCs w:val="44"/>
        </w:rPr>
        <w:t>课程标准</w:t>
      </w:r>
      <w:bookmarkEnd w:id="20"/>
    </w:p>
    <w:p>
      <w:pPr>
        <w:jc w:val="center"/>
        <w:rPr>
          <w:rFonts w:ascii="黑体" w:hAnsi="黑体" w:eastAsia="黑体" w:cs="Arial"/>
          <w:sz w:val="44"/>
          <w:szCs w:val="44"/>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pStyle w:val="2"/>
        <w:spacing w:before="0" w:after="0" w:line="360" w:lineRule="auto"/>
        <w:jc w:val="center"/>
        <w:rPr>
          <w:rFonts w:hint="eastAsia" w:ascii="方正小标宋简体" w:eastAsia="方正小标宋简体"/>
          <w:b/>
          <w:sz w:val="44"/>
          <w:szCs w:val="36"/>
        </w:rPr>
      </w:pPr>
      <w:bookmarkStart w:id="21" w:name="_Toc21039"/>
      <w:r>
        <w:rPr>
          <w:rFonts w:hint="eastAsia" w:ascii="方正小标宋简体" w:eastAsia="方正小标宋简体"/>
          <w:b/>
          <w:sz w:val="44"/>
          <w:szCs w:val="36"/>
        </w:rPr>
        <w:t>《</w:t>
      </w:r>
      <w:r>
        <w:rPr>
          <w:rFonts w:hint="eastAsia" w:ascii="黑体" w:hAnsi="黑体" w:eastAsia="黑体" w:cs="Arial"/>
          <w:b/>
          <w:bCs/>
          <w:sz w:val="44"/>
          <w:szCs w:val="44"/>
        </w:rPr>
        <w:t>电动汽车</w:t>
      </w:r>
      <w:r>
        <w:rPr>
          <w:rFonts w:hint="eastAsia" w:ascii="黑体" w:hAnsi="黑体" w:eastAsia="黑体" w:cs="Arial"/>
          <w:b/>
          <w:bCs/>
          <w:sz w:val="44"/>
          <w:szCs w:val="44"/>
          <w:lang w:eastAsia="zh-CN"/>
        </w:rPr>
        <w:t>结</w:t>
      </w:r>
      <w:r>
        <w:rPr>
          <w:rFonts w:hint="eastAsia" w:ascii="黑体" w:hAnsi="黑体" w:eastAsia="黑体" w:cs="Arial"/>
          <w:b/>
          <w:bCs/>
          <w:sz w:val="44"/>
          <w:szCs w:val="44"/>
        </w:rPr>
        <w:t>构</w:t>
      </w:r>
      <w:r>
        <w:rPr>
          <w:rFonts w:hint="eastAsia" w:ascii="黑体" w:hAnsi="黑体" w:eastAsia="黑体" w:cs="Arial"/>
          <w:b/>
          <w:bCs/>
          <w:sz w:val="44"/>
          <w:szCs w:val="44"/>
          <w:lang w:eastAsia="zh-CN"/>
        </w:rPr>
        <w:t>原理</w:t>
      </w:r>
      <w:r>
        <w:rPr>
          <w:rFonts w:hint="eastAsia" w:ascii="黑体" w:hAnsi="黑体" w:eastAsia="黑体" w:cs="Arial"/>
          <w:b/>
          <w:bCs/>
          <w:sz w:val="44"/>
          <w:szCs w:val="44"/>
        </w:rPr>
        <w:t>与</w:t>
      </w:r>
      <w:r>
        <w:rPr>
          <w:rFonts w:hint="eastAsia" w:ascii="黑体" w:hAnsi="黑体" w:eastAsia="黑体" w:cs="Arial"/>
          <w:b/>
          <w:bCs/>
          <w:sz w:val="44"/>
          <w:szCs w:val="44"/>
          <w:lang w:eastAsia="zh-CN"/>
        </w:rPr>
        <w:t>检</w:t>
      </w:r>
      <w:r>
        <w:rPr>
          <w:rFonts w:hint="eastAsia" w:ascii="黑体" w:hAnsi="黑体" w:eastAsia="黑体" w:cs="Arial"/>
          <w:b/>
          <w:bCs/>
          <w:sz w:val="44"/>
          <w:szCs w:val="44"/>
        </w:rPr>
        <w:t>修</w:t>
      </w:r>
      <w:r>
        <w:rPr>
          <w:rFonts w:hint="eastAsia" w:ascii="方正小标宋简体" w:eastAsia="方正小标宋简体"/>
          <w:b/>
          <w:sz w:val="44"/>
          <w:szCs w:val="36"/>
        </w:rPr>
        <w:t>》课程标准</w:t>
      </w:r>
      <w:bookmarkEnd w:id="21"/>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630"/>
        <w:gridCol w:w="306"/>
        <w:gridCol w:w="3437"/>
        <w:gridCol w:w="853"/>
        <w:gridCol w:w="666"/>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95" w:type="pct"/>
            <w:gridSpan w:val="2"/>
            <w:noWrap w:val="0"/>
            <w:vAlign w:val="center"/>
          </w:tcPr>
          <w:p>
            <w:pPr>
              <w:spacing w:line="440" w:lineRule="exact"/>
              <w:jc w:val="center"/>
              <w:rPr>
                <w:rFonts w:hint="eastAsia" w:ascii="仿宋_GB2312" w:hAnsi="宋体" w:eastAsia="仿宋_GB2312"/>
                <w:sz w:val="28"/>
                <w:szCs w:val="28"/>
              </w:rPr>
            </w:pPr>
            <w:r>
              <w:rPr>
                <w:rFonts w:hint="eastAsia" w:ascii="仿宋_GB2312" w:hAnsi="宋体" w:eastAsia="仿宋_GB2312"/>
                <w:sz w:val="28"/>
                <w:szCs w:val="28"/>
              </w:rPr>
              <w:t>一体化课程1名称</w:t>
            </w:r>
          </w:p>
        </w:tc>
        <w:tc>
          <w:tcPr>
            <w:tcW w:w="2053" w:type="pct"/>
            <w:gridSpan w:val="2"/>
            <w:noWrap w:val="0"/>
            <w:vAlign w:val="center"/>
          </w:tcPr>
          <w:p>
            <w:pPr>
              <w:spacing w:line="440" w:lineRule="exact"/>
              <w:jc w:val="center"/>
              <w:rPr>
                <w:rFonts w:hint="eastAsia" w:ascii="仿宋_GB2312" w:hAnsi="宋体" w:eastAsia="仿宋_GB2312"/>
                <w:sz w:val="28"/>
                <w:szCs w:val="28"/>
              </w:rPr>
            </w:pPr>
            <w:r>
              <w:rPr>
                <w:rFonts w:hint="eastAsia" w:ascii="仿宋_GB2312" w:hAnsi="宋体" w:eastAsia="仿宋_GB2312"/>
                <w:sz w:val="28"/>
                <w:szCs w:val="28"/>
              </w:rPr>
              <w:t>电动汽车结构原理与检修</w:t>
            </w:r>
          </w:p>
        </w:tc>
        <w:tc>
          <w:tcPr>
            <w:tcW w:w="833" w:type="pct"/>
            <w:gridSpan w:val="2"/>
            <w:noWrap w:val="0"/>
            <w:vAlign w:val="center"/>
          </w:tcPr>
          <w:p>
            <w:pPr>
              <w:spacing w:line="440" w:lineRule="exact"/>
              <w:jc w:val="center"/>
              <w:rPr>
                <w:rFonts w:hint="eastAsia" w:ascii="仿宋_GB2312" w:hAnsi="宋体" w:eastAsia="仿宋_GB2312"/>
                <w:sz w:val="28"/>
                <w:szCs w:val="28"/>
              </w:rPr>
            </w:pPr>
            <w:r>
              <w:rPr>
                <w:rFonts w:hint="eastAsia" w:ascii="仿宋_GB2312" w:hAnsi="宋体" w:eastAsia="仿宋_GB2312"/>
                <w:sz w:val="28"/>
                <w:szCs w:val="28"/>
              </w:rPr>
              <w:t>基准学时</w:t>
            </w:r>
          </w:p>
        </w:tc>
        <w:tc>
          <w:tcPr>
            <w:tcW w:w="718" w:type="pct"/>
            <w:noWrap w:val="0"/>
            <w:vAlign w:val="center"/>
          </w:tcPr>
          <w:p>
            <w:pPr>
              <w:spacing w:line="44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000" w:type="pct"/>
            <w:gridSpan w:val="7"/>
            <w:noWrap w:val="0"/>
            <w:vAlign w:val="center"/>
          </w:tcPr>
          <w:p>
            <w:pPr>
              <w:pStyle w:val="3"/>
              <w:spacing w:before="0" w:after="0" w:line="240" w:lineRule="auto"/>
              <w:rPr>
                <w:rFonts w:hint="eastAsia" w:ascii="黑体" w:hAnsi="黑体" w:eastAsia="黑体"/>
                <w:b w:val="0"/>
                <w:sz w:val="30"/>
                <w:szCs w:val="30"/>
              </w:rPr>
            </w:pPr>
            <w:r>
              <w:rPr>
                <w:rFonts w:hint="eastAsia" w:ascii="黑体" w:hAnsi="黑体" w:eastAsia="黑体"/>
                <w:b w:val="0"/>
                <w:sz w:val="30"/>
                <w:szCs w:val="30"/>
              </w:rPr>
              <w:t>一、典型工作任务描述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5000" w:type="pct"/>
            <w:gridSpan w:val="7"/>
            <w:noWrap w:val="0"/>
            <w:vAlign w:val="center"/>
          </w:tcPr>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在全球都在大力推动新能源汽车的发展，我国市场新能源汽车的销量也是不多增长，随着新能源汽车保有量日渐增长，新能源汽车售后维修的需求日渐增大，现在需对新能源汽车进行拆装、诊断以及排除故障。以及按照6s管理规范清理场地、归置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000" w:type="pct"/>
            <w:gridSpan w:val="7"/>
            <w:noWrap w:val="0"/>
            <w:vAlign w:val="center"/>
          </w:tcPr>
          <w:p>
            <w:pPr>
              <w:pStyle w:val="3"/>
              <w:spacing w:before="0" w:after="0" w:line="240" w:lineRule="auto"/>
              <w:rPr>
                <w:rFonts w:hint="eastAsia" w:ascii="仿宋_GB2312" w:hAnsi="宋体"/>
                <w:b w:val="0"/>
              </w:rPr>
            </w:pPr>
            <w:r>
              <w:rPr>
                <w:rFonts w:hint="eastAsia" w:ascii="黑体" w:hAnsi="黑体" w:eastAsia="黑体"/>
                <w:b w:val="0"/>
                <w:sz w:val="30"/>
                <w:szCs w:val="30"/>
              </w:rPr>
              <w:t>二、工作内容分析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jc w:val="center"/>
        </w:trPr>
        <w:tc>
          <w:tcPr>
            <w:tcW w:w="1563" w:type="pct"/>
            <w:gridSpan w:val="3"/>
            <w:noWrap w:val="0"/>
            <w:vAlign w:val="top"/>
          </w:tcPr>
          <w:p>
            <w:pPr>
              <w:spacing w:line="440" w:lineRule="exact"/>
              <w:rPr>
                <w:rFonts w:hint="eastAsia" w:ascii="仿宋_GB2312" w:hAnsi="宋体" w:eastAsia="仿宋_GB2312"/>
                <w:sz w:val="28"/>
                <w:szCs w:val="28"/>
              </w:rPr>
            </w:pPr>
            <w:r>
              <w:rPr>
                <w:rFonts w:hint="eastAsia" w:ascii="仿宋_GB2312" w:hAnsi="宋体" w:eastAsia="仿宋_GB2312"/>
                <w:sz w:val="28"/>
                <w:szCs w:val="28"/>
              </w:rPr>
              <w:t>工作</w:t>
            </w:r>
            <w:r>
              <w:rPr>
                <w:rFonts w:hint="eastAsia" w:ascii="仿宋_GB2312" w:hAnsi="宋体" w:eastAsia="仿宋_GB2312"/>
                <w:sz w:val="28"/>
                <w:szCs w:val="28"/>
                <w:lang w:eastAsia="zh-CN"/>
              </w:rPr>
              <w:t>内容</w:t>
            </w:r>
            <w:r>
              <w:rPr>
                <w:rFonts w:hint="eastAsia" w:ascii="仿宋_GB2312" w:hAnsi="宋体" w:eastAsia="仿宋_GB2312"/>
                <w:sz w:val="28"/>
                <w:szCs w:val="28"/>
              </w:rPr>
              <w:t>：</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1.执行高压电安全操作规程</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2.接受任务，现场勘查，与用户沟通，明确工作任务要求，填写任务单</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3.识读维修手册及相关技术文件</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4.根据任务要求和维修手册，制定工作计划</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5.根据任务要求，准备工具和材料</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6.准备现场工作环境</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7.按施工计划和工艺要求对动力电池包进行拆装</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8. 查找、排除故障</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9.施工后自检</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10.清理场地、归置物品</w:t>
            </w:r>
          </w:p>
          <w:p>
            <w:pPr>
              <w:spacing w:line="440" w:lineRule="exact"/>
              <w:rPr>
                <w:rFonts w:hint="eastAsia" w:ascii="仿宋_GB2312" w:hAnsi="宋体" w:eastAsia="仿宋_GB2312"/>
                <w:sz w:val="28"/>
                <w:szCs w:val="28"/>
                <w:lang w:eastAsia="zh-CN"/>
              </w:rPr>
            </w:pPr>
            <w:r>
              <w:rPr>
                <w:rFonts w:hint="eastAsia" w:ascii="仿宋_GB2312" w:hAnsi="宋体" w:eastAsia="仿宋_GB2312"/>
                <w:sz w:val="28"/>
                <w:szCs w:val="28"/>
              </w:rPr>
              <w:t>11.在任务单签字确认，交付验收</w:t>
            </w:r>
            <w:r>
              <w:rPr>
                <w:rFonts w:hint="eastAsia" w:ascii="仿宋_GB2312" w:hAnsi="宋体" w:eastAsia="仿宋_GB2312"/>
                <w:sz w:val="28"/>
                <w:szCs w:val="28"/>
                <w:lang w:eastAsia="zh-CN"/>
              </w:rPr>
              <w:t>。</w:t>
            </w:r>
          </w:p>
        </w:tc>
        <w:tc>
          <w:tcPr>
            <w:tcW w:w="1884" w:type="pct"/>
            <w:noWrap w:val="0"/>
            <w:vAlign w:val="top"/>
          </w:tcPr>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工具、材料、设备与资料：</w:t>
            </w:r>
          </w:p>
          <w:p>
            <w:pPr>
              <w:spacing w:line="44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工具：绝缘防护用品、绝缘拆装工具、仪表（万用表、兆欧表等）、解码仪、动力电池举升台</w:t>
            </w:r>
          </w:p>
          <w:p>
            <w:pPr>
              <w:spacing w:line="44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材料：保险丝、继电器，密封胶、保护用品</w:t>
            </w:r>
          </w:p>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资料：任务单、维修手册、电业安全操作规程等资料</w:t>
            </w:r>
          </w:p>
          <w:p>
            <w:pPr>
              <w:spacing w:line="44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工作方法：</w:t>
            </w:r>
          </w:p>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常用拆装工具和仪表的使用方法，</w:t>
            </w:r>
          </w:p>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动力电池举升台使用方法</w:t>
            </w:r>
          </w:p>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电子元器件的检测方法</w:t>
            </w:r>
          </w:p>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查阅资料的方法</w:t>
            </w:r>
          </w:p>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拆装作业的方法</w:t>
            </w:r>
          </w:p>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安全用电的方法</w:t>
            </w:r>
          </w:p>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劳动组织方式：</w:t>
            </w:r>
          </w:p>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1.一般以两人配合形式施工。</w:t>
            </w:r>
          </w:p>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2.领取工作任务</w:t>
            </w:r>
          </w:p>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3.与搭档有效沟通，合作完成工作任务</w:t>
            </w:r>
          </w:p>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4.从仓库领取专用工具和材料。</w:t>
            </w:r>
          </w:p>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5.完工自检后交付、验收。</w:t>
            </w:r>
          </w:p>
        </w:tc>
        <w:tc>
          <w:tcPr>
            <w:tcW w:w="1551" w:type="pct"/>
            <w:gridSpan w:val="3"/>
            <w:noWrap w:val="0"/>
            <w:vAlign w:val="top"/>
          </w:tcPr>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工作要求：</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1.能严格执行安全操作规程、施工现场管理规定。</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2.能实施触电急救</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3.能明确项目任务和个人任务要求，服从安排。</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4.能识读维修手册，明确施工的工具、位置等技术工艺要求。</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5.按照安全操作规程应用必要的标识和隔离措施，确保现场施工安全。</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6.能按维修手册、工艺要求、安全规程要求施工。</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7.能按施工任务书的要求进行拆装。</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8.能正确有关电子元件。</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9.按操作规程，作业完毕后能清点工具，收集剩余材料，</w:t>
            </w:r>
            <w:r>
              <w:rPr>
                <w:rFonts w:hint="eastAsia" w:ascii="仿宋_GB2312" w:hAnsi="宋体" w:eastAsia="仿宋_GB2312"/>
                <w:color w:val="000000"/>
                <w:sz w:val="28"/>
                <w:szCs w:val="28"/>
              </w:rPr>
              <w:t>清理现场，</w:t>
            </w:r>
            <w:r>
              <w:rPr>
                <w:rFonts w:hint="eastAsia" w:ascii="仿宋_GB2312" w:hAnsi="宋体" w:eastAsia="仿宋_GB2312"/>
                <w:sz w:val="28"/>
                <w:szCs w:val="28"/>
              </w:rPr>
              <w:t>拆除防护措施。</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10.能正确填写任务单的验收项目，并交付验收。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7"/>
            <w:noWrap w:val="0"/>
            <w:vAlign w:val="center"/>
          </w:tcPr>
          <w:p>
            <w:pPr>
              <w:pStyle w:val="3"/>
              <w:spacing w:before="0" w:after="0" w:line="240" w:lineRule="auto"/>
              <w:rPr>
                <w:rFonts w:hint="eastAsia" w:ascii="仿宋_GB2312" w:hAnsi="宋体"/>
                <w:b w:val="0"/>
              </w:rPr>
            </w:pPr>
            <w:r>
              <w:rPr>
                <w:rFonts w:hint="eastAsia" w:ascii="黑体" w:hAnsi="黑体" w:eastAsia="黑体"/>
                <w:b w:val="0"/>
                <w:sz w:val="30"/>
                <w:szCs w:val="30"/>
              </w:rPr>
              <w:t>三、课程目标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0" w:hRule="atLeast"/>
          <w:jc w:val="center"/>
        </w:trPr>
        <w:tc>
          <w:tcPr>
            <w:tcW w:w="5000" w:type="pct"/>
            <w:gridSpan w:val="7"/>
            <w:noWrap w:val="0"/>
            <w:vAlign w:val="top"/>
          </w:tcPr>
          <w:p>
            <w:pPr>
              <w:spacing w:line="440" w:lineRule="exact"/>
              <w:ind w:firstLine="548" w:firstLineChars="196"/>
              <w:rPr>
                <w:rFonts w:hint="eastAsia" w:ascii="仿宋_GB2312" w:hAnsi="宋体" w:eastAsia="仿宋_GB2312"/>
                <w:sz w:val="28"/>
                <w:szCs w:val="28"/>
              </w:rPr>
            </w:pPr>
            <w:r>
              <w:rPr>
                <w:rFonts w:hint="eastAsia" w:ascii="仿宋_GB2312" w:hAnsi="宋体" w:eastAsia="仿宋_GB2312"/>
                <w:sz w:val="28"/>
                <w:szCs w:val="28"/>
              </w:rPr>
              <w:t>学习完本课程后，学生应当能够：</w:t>
            </w:r>
          </w:p>
          <w:p>
            <w:pPr>
              <w:spacing w:line="440" w:lineRule="exact"/>
              <w:ind w:firstLine="548" w:firstLineChars="196"/>
              <w:rPr>
                <w:rFonts w:hint="eastAsia" w:ascii="仿宋_GB2312" w:hAnsi="宋体" w:eastAsia="仿宋_GB2312"/>
                <w:sz w:val="28"/>
                <w:szCs w:val="28"/>
                <w:lang w:eastAsia="zh-CN"/>
              </w:rPr>
            </w:pPr>
            <w:r>
              <w:rPr>
                <w:rFonts w:hint="eastAsia" w:ascii="仿宋_GB2312" w:hAnsi="宋体" w:eastAsia="仿宋_GB2312"/>
                <w:sz w:val="28"/>
                <w:szCs w:val="28"/>
              </w:rPr>
              <w:t>1.通过观摩现场、观看视频图片等方式，感知新能源汽车维修员工的职业特征，遵循安全操作规程的必要性，了解企业安全生产要求、规章制度和技术发展趋势等，并通过各种方式展示所认知的信息</w:t>
            </w:r>
            <w:r>
              <w:rPr>
                <w:rFonts w:hint="eastAsia" w:ascii="仿宋_GB2312" w:hAnsi="宋体" w:eastAsia="仿宋_GB2312"/>
                <w:sz w:val="28"/>
                <w:szCs w:val="28"/>
                <w:lang w:eastAsia="zh-CN"/>
              </w:rPr>
              <w:t>；</w:t>
            </w:r>
          </w:p>
          <w:p>
            <w:pPr>
              <w:spacing w:line="440" w:lineRule="exact"/>
              <w:ind w:firstLine="548" w:firstLineChars="196"/>
              <w:rPr>
                <w:rFonts w:hint="eastAsia" w:ascii="仿宋_GB2312" w:hAnsi="宋体" w:eastAsia="仿宋_GB2312"/>
                <w:sz w:val="28"/>
                <w:szCs w:val="28"/>
                <w:lang w:eastAsia="zh-CN"/>
              </w:rPr>
            </w:pPr>
            <w:r>
              <w:rPr>
                <w:rFonts w:hint="eastAsia" w:ascii="仿宋_GB2312" w:hAnsi="宋体" w:eastAsia="仿宋_GB2312"/>
                <w:sz w:val="28"/>
                <w:szCs w:val="28"/>
              </w:rPr>
              <w:t>2.学习安全用电知识，了解电工安全操作规程，了解常见触电方式，应用触电急救的方法，实施触电急救</w:t>
            </w:r>
            <w:r>
              <w:rPr>
                <w:rFonts w:hint="eastAsia" w:ascii="仿宋_GB2312" w:hAnsi="宋体" w:eastAsia="仿宋_GB2312"/>
                <w:sz w:val="28"/>
                <w:szCs w:val="28"/>
                <w:lang w:eastAsia="zh-CN"/>
              </w:rPr>
              <w:t>；</w:t>
            </w:r>
          </w:p>
          <w:p>
            <w:pPr>
              <w:spacing w:line="440" w:lineRule="exact"/>
              <w:ind w:firstLine="548" w:firstLineChars="196"/>
              <w:rPr>
                <w:rFonts w:hint="eastAsia" w:ascii="仿宋_GB2312" w:hAnsi="宋体" w:eastAsia="仿宋_GB2312"/>
                <w:sz w:val="28"/>
                <w:szCs w:val="28"/>
                <w:lang w:eastAsia="zh-CN"/>
              </w:rPr>
            </w:pPr>
            <w:r>
              <w:rPr>
                <w:rFonts w:hint="eastAsia" w:ascii="仿宋_GB2312" w:hAnsi="宋体" w:eastAsia="仿宋_GB2312"/>
                <w:sz w:val="28"/>
                <w:szCs w:val="28"/>
              </w:rPr>
              <w:t>3.能独立阅读工作任务单，明确工时、工艺要求和人员分工， 叙述个人任务要求</w:t>
            </w:r>
            <w:r>
              <w:rPr>
                <w:rFonts w:hint="eastAsia" w:ascii="仿宋_GB2312" w:hAnsi="宋体" w:eastAsia="仿宋_GB2312"/>
                <w:sz w:val="28"/>
                <w:szCs w:val="28"/>
                <w:lang w:eastAsia="zh-CN"/>
              </w:rPr>
              <w:t>；</w:t>
            </w:r>
          </w:p>
          <w:p>
            <w:pPr>
              <w:spacing w:line="440" w:lineRule="exact"/>
              <w:ind w:firstLine="548" w:firstLineChars="196"/>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4.能勘察故障车辆现况，描述故障现象，识读维修手册，制定工作方案及工作计划</w:t>
            </w:r>
            <w:r>
              <w:rPr>
                <w:rFonts w:hint="eastAsia" w:ascii="仿宋_GB2312" w:hAnsi="宋体" w:eastAsia="仿宋_GB2312"/>
                <w:color w:val="000000"/>
                <w:sz w:val="28"/>
                <w:szCs w:val="28"/>
                <w:lang w:eastAsia="zh-CN"/>
              </w:rPr>
              <w:t>；</w:t>
            </w:r>
          </w:p>
          <w:p>
            <w:pPr>
              <w:spacing w:line="440" w:lineRule="exact"/>
              <w:ind w:firstLine="548" w:firstLineChars="196"/>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5.能根据任务要求和维修手册，列举所需工具和材料清单，准备工具，领取材料</w:t>
            </w:r>
            <w:r>
              <w:rPr>
                <w:rFonts w:hint="eastAsia" w:ascii="仿宋_GB2312" w:hAnsi="宋体" w:eastAsia="仿宋_GB2312"/>
                <w:color w:val="000000"/>
                <w:sz w:val="28"/>
                <w:szCs w:val="28"/>
                <w:lang w:eastAsia="zh-CN"/>
              </w:rPr>
              <w:t>；</w:t>
            </w:r>
          </w:p>
          <w:p>
            <w:pPr>
              <w:spacing w:line="440" w:lineRule="exact"/>
              <w:ind w:firstLine="548" w:firstLineChars="196"/>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6.按照作业规程应用必要的标识和隔离措施，做好现场工作准备</w:t>
            </w:r>
            <w:r>
              <w:rPr>
                <w:rFonts w:hint="eastAsia" w:ascii="仿宋_GB2312" w:hAnsi="宋体" w:eastAsia="仿宋_GB2312"/>
                <w:color w:val="000000"/>
                <w:sz w:val="28"/>
                <w:szCs w:val="28"/>
                <w:lang w:eastAsia="zh-CN"/>
              </w:rPr>
              <w:t>；</w:t>
            </w:r>
          </w:p>
          <w:p>
            <w:pPr>
              <w:spacing w:line="440" w:lineRule="exact"/>
              <w:ind w:firstLine="548" w:firstLineChars="196"/>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7.按维修手册、工艺要求、安全规程进行施工</w:t>
            </w:r>
            <w:r>
              <w:rPr>
                <w:rFonts w:hint="eastAsia" w:ascii="仿宋_GB2312" w:hAnsi="宋体" w:eastAsia="仿宋_GB2312"/>
                <w:color w:val="000000"/>
                <w:sz w:val="28"/>
                <w:szCs w:val="28"/>
                <w:lang w:eastAsia="zh-CN"/>
              </w:rPr>
              <w:t>；</w:t>
            </w:r>
          </w:p>
          <w:p>
            <w:pPr>
              <w:spacing w:line="440" w:lineRule="exact"/>
              <w:ind w:firstLine="548" w:firstLineChars="196"/>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8.施工后，能按施工任务书的要求进行自检</w:t>
            </w:r>
            <w:r>
              <w:rPr>
                <w:rFonts w:hint="eastAsia" w:ascii="仿宋_GB2312" w:hAnsi="宋体" w:eastAsia="仿宋_GB2312"/>
                <w:color w:val="000000"/>
                <w:sz w:val="28"/>
                <w:szCs w:val="28"/>
                <w:lang w:eastAsia="zh-CN"/>
              </w:rPr>
              <w:t>；</w:t>
            </w:r>
          </w:p>
          <w:p>
            <w:pPr>
              <w:spacing w:line="440" w:lineRule="exact"/>
              <w:ind w:firstLine="548" w:firstLineChars="196"/>
              <w:rPr>
                <w:rFonts w:hint="eastAsia" w:ascii="仿宋_GB2312" w:hAnsi="宋体" w:eastAsia="仿宋_GB2312"/>
                <w:sz w:val="28"/>
                <w:szCs w:val="28"/>
                <w:lang w:eastAsia="zh-CN"/>
              </w:rPr>
            </w:pPr>
            <w:r>
              <w:rPr>
                <w:rFonts w:hint="eastAsia" w:ascii="仿宋_GB2312" w:hAnsi="宋体" w:eastAsia="仿宋_GB2312"/>
                <w:color w:val="000000"/>
                <w:sz w:val="28"/>
                <w:szCs w:val="28"/>
              </w:rPr>
              <w:t>9.按操作规程，作业完毕后能清点工具，收集剩余材料，清理现场，拆除防护措施</w:t>
            </w:r>
            <w:r>
              <w:rPr>
                <w:rFonts w:hint="eastAsia" w:ascii="仿宋_GB2312" w:hAnsi="宋体" w:eastAsia="仿宋_GB2312"/>
                <w:color w:val="000000"/>
                <w:sz w:val="28"/>
                <w:szCs w:val="28"/>
                <w:lang w:eastAsia="zh-CN"/>
              </w:rPr>
              <w:t>；</w:t>
            </w:r>
          </w:p>
          <w:p>
            <w:pPr>
              <w:spacing w:line="440" w:lineRule="exact"/>
              <w:ind w:firstLine="548" w:firstLineChars="196"/>
              <w:rPr>
                <w:rFonts w:hint="eastAsia" w:ascii="仿宋_GB2312" w:hAnsi="宋体" w:eastAsia="仿宋_GB2312"/>
                <w:sz w:val="28"/>
                <w:szCs w:val="28"/>
              </w:rPr>
            </w:pPr>
            <w:r>
              <w:rPr>
                <w:rFonts w:hint="eastAsia" w:ascii="仿宋_GB2312" w:hAnsi="宋体" w:eastAsia="仿宋_GB2312"/>
                <w:sz w:val="28"/>
                <w:szCs w:val="28"/>
              </w:rPr>
              <w:t>10.能正确填写任务单的验收项目，并交付验收。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7"/>
            <w:noWrap w:val="0"/>
            <w:vAlign w:val="center"/>
          </w:tcPr>
          <w:p>
            <w:pPr>
              <w:pStyle w:val="3"/>
              <w:spacing w:before="0" w:after="0" w:line="240" w:lineRule="auto"/>
              <w:rPr>
                <w:rFonts w:hint="eastAsia" w:ascii="仿宋_GB2312" w:hAnsi="宋体"/>
              </w:rPr>
            </w:pPr>
            <w:r>
              <w:rPr>
                <w:rFonts w:hint="eastAsia" w:ascii="黑体" w:hAnsi="黑体" w:eastAsia="黑体"/>
                <w:b w:val="0"/>
                <w:sz w:val="30"/>
                <w:szCs w:val="30"/>
              </w:rPr>
              <w:t>四、学习内容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000" w:type="pct"/>
            <w:gridSpan w:val="7"/>
            <w:noWrap w:val="0"/>
            <w:vAlign w:val="top"/>
          </w:tcPr>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1. 职业内涵、电工安全操作规程、电气作业规范和拆装作业规范、新能源汽车技术发展趋势。</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2. 触电、电气火灾预防及急救知识、操作。</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3. 现场6S管理规程。</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4. 安全用电常识。</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5. 识读电路图、维修手册。</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6. 勘察故障车辆和施工前的准备工作。</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7. 工量具的规格及选用。</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8. 电工常用工具及仪表的使用。</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9. 拆装要求、方法及步骤。</w:t>
            </w:r>
          </w:p>
          <w:p>
            <w:pPr>
              <w:spacing w:line="440" w:lineRule="exact"/>
              <w:ind w:firstLine="560" w:firstLineChars="200"/>
              <w:rPr>
                <w:rFonts w:hint="eastAsia" w:ascii="仿宋_GB2312" w:hAnsi="宋体" w:eastAsia="仿宋_GB2312"/>
                <w:sz w:val="28"/>
                <w:szCs w:val="28"/>
              </w:rPr>
            </w:pPr>
            <w:r>
              <w:rPr>
                <w:rFonts w:hint="eastAsia" w:ascii="仿宋_GB2312" w:eastAsia="仿宋_GB2312"/>
                <w:sz w:val="28"/>
                <w:szCs w:val="28"/>
              </w:rPr>
              <w:t>10. 电子元器件的检测。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7"/>
            <w:noWrap w:val="0"/>
            <w:vAlign w:val="center"/>
          </w:tcPr>
          <w:p>
            <w:pPr>
              <w:pStyle w:val="3"/>
              <w:spacing w:before="0" w:after="0" w:line="240" w:lineRule="auto"/>
              <w:rPr>
                <w:rFonts w:hint="eastAsia" w:ascii="仿宋_GB2312" w:hAnsi="宋体"/>
                <w:b w:val="0"/>
              </w:rPr>
            </w:pPr>
            <w:r>
              <w:rPr>
                <w:rFonts w:hint="eastAsia" w:ascii="黑体" w:hAnsi="黑体" w:eastAsia="黑体"/>
                <w:b w:val="0"/>
                <w:sz w:val="30"/>
                <w:szCs w:val="30"/>
              </w:rPr>
              <w:t>五、参考性学习任务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1" w:type="pct"/>
            <w:noWrap w:val="0"/>
            <w:vAlign w:val="center"/>
          </w:tcPr>
          <w:p>
            <w:pPr>
              <w:spacing w:line="440" w:lineRule="exact"/>
              <w:jc w:val="center"/>
              <w:rPr>
                <w:rFonts w:hint="eastAsia" w:ascii="仿宋_GB2312" w:hAnsi="宋体" w:eastAsia="仿宋_GB2312"/>
                <w:b/>
                <w:sz w:val="28"/>
                <w:szCs w:val="28"/>
              </w:rPr>
            </w:pPr>
            <w:r>
              <w:rPr>
                <w:rFonts w:hint="eastAsia" w:ascii="仿宋_GB2312" w:hAnsi="宋体" w:eastAsia="仿宋_GB2312"/>
                <w:b/>
                <w:sz w:val="28"/>
                <w:szCs w:val="28"/>
              </w:rPr>
              <w:t>序号</w:t>
            </w:r>
          </w:p>
        </w:tc>
        <w:tc>
          <w:tcPr>
            <w:tcW w:w="3414" w:type="pct"/>
            <w:gridSpan w:val="4"/>
            <w:noWrap w:val="0"/>
            <w:vAlign w:val="center"/>
          </w:tcPr>
          <w:p>
            <w:pPr>
              <w:spacing w:line="440" w:lineRule="exact"/>
              <w:jc w:val="center"/>
              <w:rPr>
                <w:rFonts w:hint="eastAsia" w:ascii="仿宋_GB2312" w:hAnsi="宋体" w:eastAsia="仿宋_GB2312"/>
                <w:b/>
                <w:sz w:val="28"/>
                <w:szCs w:val="28"/>
              </w:rPr>
            </w:pPr>
            <w:r>
              <w:rPr>
                <w:rFonts w:hint="eastAsia" w:ascii="仿宋_GB2312" w:hAnsi="宋体" w:eastAsia="仿宋_GB2312"/>
                <w:b/>
                <w:sz w:val="28"/>
                <w:szCs w:val="28"/>
              </w:rPr>
              <w:t>名  称</w:t>
            </w:r>
          </w:p>
        </w:tc>
        <w:tc>
          <w:tcPr>
            <w:tcW w:w="1084" w:type="pct"/>
            <w:gridSpan w:val="2"/>
            <w:noWrap w:val="0"/>
            <w:vAlign w:val="center"/>
          </w:tcPr>
          <w:p>
            <w:pPr>
              <w:spacing w:line="440" w:lineRule="exact"/>
              <w:jc w:val="center"/>
              <w:rPr>
                <w:rFonts w:hint="eastAsia" w:ascii="仿宋_GB2312" w:hAnsi="宋体" w:eastAsia="仿宋_GB2312"/>
                <w:b/>
                <w:sz w:val="28"/>
                <w:szCs w:val="28"/>
              </w:rPr>
            </w:pPr>
            <w:r>
              <w:rPr>
                <w:rFonts w:hint="eastAsia" w:ascii="仿宋_GB2312" w:hAnsi="宋体" w:eastAsia="仿宋_GB2312"/>
                <w:b/>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3414" w:type="pct"/>
            <w:gridSpan w:val="4"/>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新能源汽车</w:t>
            </w:r>
            <w:r>
              <w:rPr>
                <w:rFonts w:hint="eastAsia" w:ascii="仿宋_GB2312" w:hAnsi="宋体" w:eastAsia="仿宋_GB2312"/>
                <w:sz w:val="28"/>
                <w:szCs w:val="28"/>
                <w:lang w:eastAsia="zh-CN"/>
              </w:rPr>
              <w:t>概述与发展</w:t>
            </w:r>
          </w:p>
        </w:tc>
        <w:tc>
          <w:tcPr>
            <w:tcW w:w="1084" w:type="pct"/>
            <w:gridSpan w:val="2"/>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3414" w:type="pct"/>
            <w:gridSpan w:val="4"/>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新能源汽车</w:t>
            </w:r>
            <w:r>
              <w:rPr>
                <w:rFonts w:hint="eastAsia" w:ascii="仿宋_GB2312" w:hAnsi="宋体" w:eastAsia="仿宋_GB2312"/>
                <w:sz w:val="28"/>
                <w:szCs w:val="28"/>
                <w:lang w:eastAsia="zh-CN"/>
              </w:rPr>
              <w:t>使用操作</w:t>
            </w:r>
          </w:p>
        </w:tc>
        <w:tc>
          <w:tcPr>
            <w:tcW w:w="1084" w:type="pct"/>
            <w:gridSpan w:val="2"/>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3</w:t>
            </w:r>
          </w:p>
        </w:tc>
        <w:tc>
          <w:tcPr>
            <w:tcW w:w="3414" w:type="pct"/>
            <w:gridSpan w:val="4"/>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新能源汽车高压安全防护</w:t>
            </w:r>
          </w:p>
        </w:tc>
        <w:tc>
          <w:tcPr>
            <w:tcW w:w="1084" w:type="pct"/>
            <w:gridSpan w:val="2"/>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c>
          <w:tcPr>
            <w:tcW w:w="3414" w:type="pct"/>
            <w:gridSpan w:val="4"/>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新能源汽车高压电器维修安全规范</w:t>
            </w:r>
          </w:p>
        </w:tc>
        <w:tc>
          <w:tcPr>
            <w:tcW w:w="1084" w:type="pct"/>
            <w:gridSpan w:val="2"/>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p>
        </w:tc>
        <w:tc>
          <w:tcPr>
            <w:tcW w:w="3414" w:type="pct"/>
            <w:gridSpan w:val="4"/>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动力电池拆装</w:t>
            </w:r>
          </w:p>
        </w:tc>
        <w:tc>
          <w:tcPr>
            <w:tcW w:w="1084" w:type="pct"/>
            <w:gridSpan w:val="2"/>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c>
          <w:tcPr>
            <w:tcW w:w="3414" w:type="pct"/>
            <w:gridSpan w:val="4"/>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动力电池检修</w:t>
            </w:r>
          </w:p>
        </w:tc>
        <w:tc>
          <w:tcPr>
            <w:tcW w:w="1084" w:type="pct"/>
            <w:gridSpan w:val="2"/>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w:t>
            </w:r>
          </w:p>
        </w:tc>
        <w:tc>
          <w:tcPr>
            <w:tcW w:w="3414" w:type="pct"/>
            <w:gridSpan w:val="4"/>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驱动电机检修</w:t>
            </w:r>
          </w:p>
        </w:tc>
        <w:tc>
          <w:tcPr>
            <w:tcW w:w="1084" w:type="pct"/>
            <w:gridSpan w:val="2"/>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w:t>
            </w:r>
          </w:p>
        </w:tc>
        <w:tc>
          <w:tcPr>
            <w:tcW w:w="3414" w:type="pct"/>
            <w:gridSpan w:val="4"/>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lang w:eastAsia="zh-CN"/>
              </w:rPr>
              <w:t>驱动电机控制器检修</w:t>
            </w:r>
          </w:p>
        </w:tc>
        <w:tc>
          <w:tcPr>
            <w:tcW w:w="1084" w:type="pct"/>
            <w:gridSpan w:val="2"/>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9</w:t>
            </w:r>
          </w:p>
        </w:tc>
        <w:tc>
          <w:tcPr>
            <w:tcW w:w="3414" w:type="pct"/>
            <w:gridSpan w:val="4"/>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电动汽车充电</w:t>
            </w:r>
          </w:p>
        </w:tc>
        <w:tc>
          <w:tcPr>
            <w:tcW w:w="1084" w:type="pct"/>
            <w:gridSpan w:val="2"/>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10</w:t>
            </w:r>
          </w:p>
        </w:tc>
        <w:tc>
          <w:tcPr>
            <w:tcW w:w="3414" w:type="pct"/>
            <w:gridSpan w:val="4"/>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电动汽车充电系统检修</w:t>
            </w:r>
          </w:p>
        </w:tc>
        <w:tc>
          <w:tcPr>
            <w:tcW w:w="1084" w:type="pct"/>
            <w:gridSpan w:val="2"/>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11</w:t>
            </w:r>
          </w:p>
        </w:tc>
        <w:tc>
          <w:tcPr>
            <w:tcW w:w="3414" w:type="pct"/>
            <w:gridSpan w:val="4"/>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低压供电系统</w:t>
            </w:r>
          </w:p>
        </w:tc>
        <w:tc>
          <w:tcPr>
            <w:tcW w:w="1084" w:type="pct"/>
            <w:gridSpan w:val="2"/>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12</w:t>
            </w:r>
          </w:p>
        </w:tc>
        <w:tc>
          <w:tcPr>
            <w:tcW w:w="3414" w:type="pct"/>
            <w:gridSpan w:val="4"/>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整车控制系统检修</w:t>
            </w:r>
          </w:p>
        </w:tc>
        <w:tc>
          <w:tcPr>
            <w:tcW w:w="1084" w:type="pct"/>
            <w:gridSpan w:val="2"/>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13</w:t>
            </w:r>
          </w:p>
        </w:tc>
        <w:tc>
          <w:tcPr>
            <w:tcW w:w="3414" w:type="pct"/>
            <w:gridSpan w:val="4"/>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电动汽车配电器检修</w:t>
            </w:r>
          </w:p>
        </w:tc>
        <w:tc>
          <w:tcPr>
            <w:tcW w:w="1084" w:type="pct"/>
            <w:gridSpan w:val="2"/>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14</w:t>
            </w:r>
          </w:p>
        </w:tc>
        <w:tc>
          <w:tcPr>
            <w:tcW w:w="3414" w:type="pct"/>
            <w:gridSpan w:val="4"/>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电动汽车制动系统</w:t>
            </w:r>
          </w:p>
        </w:tc>
        <w:tc>
          <w:tcPr>
            <w:tcW w:w="1084" w:type="pct"/>
            <w:gridSpan w:val="2"/>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15</w:t>
            </w:r>
          </w:p>
        </w:tc>
        <w:tc>
          <w:tcPr>
            <w:tcW w:w="3414" w:type="pct"/>
            <w:gridSpan w:val="4"/>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lang w:eastAsia="zh-CN"/>
              </w:rPr>
              <w:t>电动汽车冷却系统</w:t>
            </w:r>
          </w:p>
        </w:tc>
        <w:tc>
          <w:tcPr>
            <w:tcW w:w="1084" w:type="pct"/>
            <w:gridSpan w:val="2"/>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16</w:t>
            </w:r>
          </w:p>
        </w:tc>
        <w:tc>
          <w:tcPr>
            <w:tcW w:w="3414" w:type="pct"/>
            <w:gridSpan w:val="4"/>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lang w:eastAsia="zh-CN"/>
              </w:rPr>
              <w:t>电动汽车</w:t>
            </w:r>
            <w:r>
              <w:rPr>
                <w:rFonts w:hint="eastAsia" w:ascii="仿宋_GB2312" w:hAnsi="宋体" w:eastAsia="仿宋_GB2312"/>
                <w:sz w:val="28"/>
                <w:szCs w:val="28"/>
              </w:rPr>
              <w:t>空调系统</w:t>
            </w:r>
          </w:p>
        </w:tc>
        <w:tc>
          <w:tcPr>
            <w:tcW w:w="1084" w:type="pct"/>
            <w:gridSpan w:val="2"/>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000" w:type="pct"/>
            <w:gridSpan w:val="7"/>
            <w:noWrap w:val="0"/>
            <w:vAlign w:val="center"/>
          </w:tcPr>
          <w:p>
            <w:pPr>
              <w:pStyle w:val="3"/>
              <w:spacing w:before="0" w:after="0" w:line="240" w:lineRule="auto"/>
              <w:rPr>
                <w:rFonts w:hint="eastAsia" w:ascii="仿宋_GB2312" w:hAnsi="宋体"/>
                <w:b w:val="0"/>
              </w:rPr>
            </w:pPr>
            <w:r>
              <w:rPr>
                <w:rFonts w:hint="eastAsia" w:ascii="黑体" w:hAnsi="黑体" w:eastAsia="黑体"/>
                <w:b w:val="0"/>
                <w:sz w:val="30"/>
                <w:szCs w:val="30"/>
              </w:rPr>
              <w:t>六、教学实施建议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000" w:type="pct"/>
            <w:gridSpan w:val="7"/>
            <w:noWrap w:val="0"/>
            <w:vAlign w:val="center"/>
          </w:tcPr>
          <w:p>
            <w:pPr>
              <w:spacing w:line="440" w:lineRule="exact"/>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1.建议采用</w:t>
            </w:r>
            <w:r>
              <w:rPr>
                <w:rFonts w:hint="eastAsia" w:ascii="仿宋_GB2312" w:hAnsi="Times New Roman" w:eastAsia="仿宋_GB2312" w:cs="Times New Roman"/>
                <w:color w:val="000000"/>
                <w:sz w:val="28"/>
                <w:szCs w:val="28"/>
                <w:lang w:eastAsia="zh-CN"/>
              </w:rPr>
              <w:t>工学一体的教学</w:t>
            </w:r>
            <w:r>
              <w:rPr>
                <w:rFonts w:hint="eastAsia" w:ascii="仿宋_GB2312" w:hAnsi="Times New Roman" w:eastAsia="仿宋_GB2312" w:cs="Times New Roman"/>
                <w:color w:val="000000"/>
                <w:sz w:val="28"/>
                <w:szCs w:val="28"/>
              </w:rPr>
              <w:t>环境，为学生营造工作氛围。</w:t>
            </w:r>
          </w:p>
          <w:p>
            <w:pPr>
              <w:spacing w:line="440" w:lineRule="exact"/>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2.可将学生进行分组，按实际操作所需人数编排，分别进行工作页的填写。</w:t>
            </w:r>
          </w:p>
          <w:p>
            <w:pPr>
              <w:spacing w:line="440" w:lineRule="exact"/>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3.教学实施过程中要注重强调安全操作的重要性，如测量高压电时必须单手操作，双人配合完成。</w:t>
            </w:r>
          </w:p>
          <w:p>
            <w:pPr>
              <w:spacing w:line="440" w:lineRule="exact"/>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4.教学实施过程中要让学生养成注重环保意识的习惯。</w:t>
            </w:r>
          </w:p>
          <w:p>
            <w:pPr>
              <w:spacing w:line="440" w:lineRule="exact"/>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5.要增加专项技能训练反复强化基础技能，如万用表的规范使用等基本操作技能。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7"/>
            <w:noWrap w:val="0"/>
            <w:vAlign w:val="center"/>
          </w:tcPr>
          <w:p>
            <w:pPr>
              <w:pStyle w:val="3"/>
              <w:spacing w:before="0" w:after="0" w:line="240" w:lineRule="auto"/>
              <w:rPr>
                <w:rFonts w:hint="eastAsia" w:ascii="仿宋_GB2312" w:hAnsi="宋体"/>
                <w:b w:val="0"/>
              </w:rPr>
            </w:pPr>
            <w:r>
              <w:rPr>
                <w:rFonts w:hint="eastAsia" w:ascii="黑体" w:hAnsi="黑体" w:eastAsia="黑体"/>
                <w:b w:val="0"/>
                <w:sz w:val="30"/>
                <w:szCs w:val="30"/>
              </w:rPr>
              <w:t>七、教学考核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000" w:type="pct"/>
            <w:gridSpan w:val="7"/>
            <w:noWrap w:val="0"/>
            <w:vAlign w:val="center"/>
          </w:tcPr>
          <w:p>
            <w:pPr>
              <w:spacing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1.学习任务过程性考核</w:t>
            </w:r>
          </w:p>
          <w:p>
            <w:pPr>
              <w:spacing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每个学习任务可采用自评、组内互评、组间互评、教师评价和企业专家评价等方式进行考核。</w:t>
            </w:r>
          </w:p>
          <w:p>
            <w:pPr>
              <w:spacing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2.课程终极性考核考核</w:t>
            </w:r>
          </w:p>
          <w:p>
            <w:pPr>
              <w:spacing w:line="440" w:lineRule="exact"/>
              <w:ind w:firstLine="560" w:firstLineChars="200"/>
              <w:rPr>
                <w:rFonts w:hint="eastAsia" w:ascii="仿宋_GB2312" w:hAnsi="宋体" w:eastAsia="仿宋_GB2312"/>
                <w:sz w:val="28"/>
                <w:szCs w:val="28"/>
              </w:rPr>
            </w:pPr>
            <w:r>
              <w:rPr>
                <w:rFonts w:hint="eastAsia" w:ascii="仿宋_GB2312" w:eastAsia="仿宋_GB2312"/>
                <w:color w:val="000000"/>
                <w:sz w:val="28"/>
                <w:szCs w:val="28"/>
              </w:rPr>
              <w:t>完成各学习任务后，课程终结考核：学生根据任务书，独立完成实施方案，并根据实施方案独立完成新能源汽车维修</w:t>
            </w:r>
            <w:r>
              <w:rPr>
                <w:rFonts w:hint="eastAsia" w:ascii="仿宋_GB2312" w:hAnsi="宋体" w:eastAsia="仿宋_GB2312"/>
                <w:sz w:val="28"/>
                <w:szCs w:val="28"/>
              </w:rPr>
              <w:t>工作。考核成绩作为课程终极性考核成绩。</w:t>
            </w:r>
          </w:p>
          <w:p>
            <w:pPr>
              <w:spacing w:line="44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3.课程成绩计算</w:t>
            </w:r>
          </w:p>
          <w:p>
            <w:pPr>
              <w:spacing w:line="440" w:lineRule="exact"/>
              <w:ind w:firstLine="280" w:firstLineChars="100"/>
              <w:rPr>
                <w:rFonts w:hint="eastAsia" w:ascii="仿宋_GB2312" w:eastAsia="仿宋_GB2312"/>
                <w:color w:val="000000"/>
                <w:sz w:val="28"/>
                <w:szCs w:val="28"/>
              </w:rPr>
            </w:pPr>
            <w:r>
              <w:rPr>
                <w:rFonts w:hint="eastAsia" w:ascii="仿宋_GB2312" w:hAnsi="宋体" w:eastAsia="仿宋_GB2312"/>
                <w:sz w:val="28"/>
                <w:szCs w:val="28"/>
              </w:rPr>
              <w:t>课程成绩＝学习任务成绩×</w:t>
            </w:r>
            <w:r>
              <w:rPr>
                <w:rFonts w:hint="eastAsia" w:ascii="仿宋_GB2312" w:eastAsia="仿宋_GB2312"/>
                <w:color w:val="000000"/>
                <w:sz w:val="28"/>
                <w:szCs w:val="28"/>
              </w:rPr>
              <w:t>60</w:t>
            </w:r>
            <w:r>
              <w:rPr>
                <w:rFonts w:hint="eastAsia" w:ascii="仿宋_GB2312" w:hAnsi="宋体" w:eastAsia="仿宋_GB2312"/>
                <w:color w:val="000000"/>
                <w:sz w:val="28"/>
                <w:szCs w:val="28"/>
              </w:rPr>
              <w:t>%＋课程终极考核</w:t>
            </w:r>
            <w:r>
              <w:rPr>
                <w:rFonts w:hint="eastAsia" w:ascii="仿宋_GB2312" w:hAnsi="宋体" w:eastAsia="仿宋_GB2312"/>
                <w:sz w:val="28"/>
                <w:szCs w:val="28"/>
              </w:rPr>
              <w:t>×</w:t>
            </w:r>
            <w:r>
              <w:rPr>
                <w:rFonts w:hint="eastAsia" w:ascii="仿宋_GB2312" w:eastAsia="仿宋_GB2312"/>
                <w:color w:val="000000"/>
                <w:sz w:val="28"/>
                <w:szCs w:val="28"/>
              </w:rPr>
              <w:t>40</w:t>
            </w:r>
            <w:r>
              <w:rPr>
                <w:rFonts w:hint="eastAsia" w:ascii="仿宋_GB2312" w:hAnsi="宋体" w:eastAsia="仿宋_GB2312"/>
                <w:color w:val="000000"/>
                <w:sz w:val="28"/>
                <w:szCs w:val="28"/>
              </w:rPr>
              <w:t>%。</w:t>
            </w:r>
          </w:p>
          <w:p>
            <w:pPr>
              <w:spacing w:line="440" w:lineRule="exact"/>
              <w:rPr>
                <w:rFonts w:hint="eastAsia" w:ascii="仿宋_GB2312" w:hAnsi="宋体" w:eastAsia="仿宋_GB2312"/>
                <w:sz w:val="28"/>
                <w:szCs w:val="28"/>
              </w:rPr>
            </w:pPr>
          </w:p>
        </w:tc>
      </w:tr>
    </w:tbl>
    <w:p>
      <w:pPr>
        <w:rPr>
          <w:rFonts w:hint="eastAsia" w:ascii="Calibri" w:hAnsi="Calibri"/>
        </w:rPr>
      </w:pPr>
    </w:p>
    <w:p/>
    <w:p/>
    <w:p/>
    <w:p/>
    <w:p/>
    <w:p/>
    <w:p/>
    <w:p/>
    <w:p/>
    <w:p/>
    <w:p/>
    <w:p/>
    <w:p/>
    <w:p/>
    <w:p/>
    <w:p/>
    <w:p/>
    <w:p/>
    <w:p/>
    <w:p/>
    <w:p>
      <w:pPr>
        <w:jc w:val="center"/>
        <w:rPr>
          <w:rFonts w:cs="Arial"/>
          <w:sz w:val="36"/>
          <w:szCs w:val="36"/>
        </w:rPr>
      </w:pPr>
    </w:p>
    <w:p>
      <w:pPr>
        <w:jc w:val="center"/>
        <w:rPr>
          <w:rFonts w:cs="Arial"/>
          <w:sz w:val="36"/>
          <w:szCs w:val="36"/>
        </w:rPr>
      </w:pPr>
    </w:p>
    <w:p>
      <w:pPr>
        <w:jc w:val="center"/>
        <w:rPr>
          <w:rFonts w:cs="Arial"/>
          <w:sz w:val="36"/>
          <w:szCs w:val="36"/>
        </w:rPr>
      </w:pPr>
      <w:r>
        <w:rPr>
          <w:rFonts w:cs="Arial"/>
          <w:sz w:val="36"/>
          <w:szCs w:val="36"/>
        </w:rPr>
        <w:drawing>
          <wp:inline distT="0" distB="0" distL="114300" distR="114300">
            <wp:extent cx="4251325" cy="889635"/>
            <wp:effectExtent l="0" t="0" r="15875"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Rot="1" noChangeAspect="1"/>
                    </pic:cNvPicPr>
                  </pic:nvPicPr>
                  <pic:blipFill>
                    <a:blip r:embed="rId9"/>
                    <a:stretch>
                      <a:fillRect/>
                    </a:stretch>
                  </pic:blipFill>
                  <pic:spPr>
                    <a:xfrm>
                      <a:off x="0" y="0"/>
                      <a:ext cx="4251325" cy="889635"/>
                    </a:xfrm>
                    <a:prstGeom prst="rect">
                      <a:avLst/>
                    </a:prstGeom>
                    <a:noFill/>
                    <a:ln>
                      <a:noFill/>
                    </a:ln>
                  </pic:spPr>
                </pic:pic>
              </a:graphicData>
            </a:graphic>
          </wp:inline>
        </w:drawing>
      </w:r>
      <w:r>
        <w:rPr>
          <w:rFonts w:cs="Arial"/>
          <w:sz w:val="36"/>
          <w:szCs w:val="36"/>
        </w:rPr>
        <w:t xml:space="preserve"> </w:t>
      </w:r>
    </w:p>
    <w:p>
      <w:pPr>
        <w:jc w:val="center"/>
        <w:rPr>
          <w:rFonts w:hint="eastAsia" w:cs="Arial"/>
          <w:sz w:val="36"/>
          <w:szCs w:val="36"/>
        </w:rPr>
      </w:pPr>
    </w:p>
    <w:p>
      <w:pPr>
        <w:jc w:val="center"/>
        <w:rPr>
          <w:rFonts w:cs="Arial"/>
          <w:sz w:val="36"/>
          <w:szCs w:val="36"/>
        </w:rPr>
      </w:pPr>
    </w:p>
    <w:p>
      <w:pPr>
        <w:jc w:val="center"/>
        <w:outlineLvl w:val="0"/>
        <w:rPr>
          <w:rFonts w:hint="eastAsia" w:ascii="黑体" w:hAnsi="黑体" w:eastAsia="黑体" w:cs="Arial"/>
          <w:b/>
          <w:bCs/>
          <w:sz w:val="44"/>
          <w:szCs w:val="44"/>
        </w:rPr>
      </w:pPr>
      <w:bookmarkStart w:id="22" w:name="_Toc2059"/>
      <w:r>
        <w:rPr>
          <w:rFonts w:hint="eastAsia" w:ascii="黑体" w:hAnsi="黑体" w:eastAsia="黑体" w:cs="Arial"/>
          <w:b/>
          <w:bCs/>
          <w:sz w:val="44"/>
          <w:szCs w:val="44"/>
          <w:lang w:val="en-US" w:eastAsia="zh-CN"/>
        </w:rPr>
        <w:t>新能源汽车检测与维修</w:t>
      </w:r>
      <w:r>
        <w:rPr>
          <w:rFonts w:hint="eastAsia" w:ascii="黑体" w:hAnsi="黑体" w:eastAsia="黑体" w:cs="Arial"/>
          <w:b/>
          <w:bCs/>
          <w:sz w:val="44"/>
          <w:szCs w:val="44"/>
        </w:rPr>
        <w:t>专业</w:t>
      </w:r>
      <w:bookmarkEnd w:id="22"/>
    </w:p>
    <w:p>
      <w:pPr>
        <w:jc w:val="center"/>
        <w:rPr>
          <w:rFonts w:hint="eastAsia" w:ascii="黑体" w:hAnsi="黑体" w:eastAsia="黑体" w:cs="Arial"/>
          <w:b/>
          <w:bCs/>
          <w:sz w:val="44"/>
          <w:szCs w:val="44"/>
        </w:rPr>
      </w:pPr>
    </w:p>
    <w:p>
      <w:pPr>
        <w:jc w:val="center"/>
        <w:rPr>
          <w:rFonts w:hint="eastAsia" w:ascii="黑体" w:hAnsi="黑体" w:eastAsia="黑体" w:cs="Arial"/>
          <w:b/>
          <w:bCs/>
          <w:sz w:val="44"/>
          <w:szCs w:val="44"/>
        </w:rPr>
      </w:pPr>
      <w:r>
        <w:rPr>
          <w:rFonts w:hint="eastAsia" w:ascii="黑体" w:hAnsi="黑体" w:eastAsia="黑体" w:cs="Arial"/>
          <w:b/>
          <w:bCs/>
          <w:sz w:val="44"/>
          <w:szCs w:val="44"/>
        </w:rPr>
        <w:t>《</w:t>
      </w:r>
      <w:r>
        <w:rPr>
          <w:rFonts w:hint="eastAsia" w:ascii="黑体" w:hAnsi="黑体" w:eastAsia="黑体" w:cs="Arial"/>
          <w:b/>
          <w:bCs/>
          <w:sz w:val="44"/>
          <w:szCs w:val="44"/>
          <w:lang w:val="en-US" w:eastAsia="zh-CN"/>
        </w:rPr>
        <w:t>新能源汽车电学基础及高压安全</w:t>
      </w:r>
      <w:r>
        <w:rPr>
          <w:rFonts w:hint="eastAsia" w:ascii="黑体" w:hAnsi="黑体" w:eastAsia="黑体" w:cs="Arial"/>
          <w:b/>
          <w:bCs/>
          <w:sz w:val="44"/>
          <w:szCs w:val="44"/>
        </w:rPr>
        <w:t>》</w:t>
      </w:r>
    </w:p>
    <w:p>
      <w:pPr>
        <w:jc w:val="center"/>
        <w:rPr>
          <w:rFonts w:ascii="黑体" w:hAnsi="黑体" w:eastAsia="黑体" w:cs="Arial"/>
          <w:b/>
          <w:sz w:val="44"/>
          <w:szCs w:val="44"/>
        </w:rPr>
      </w:pPr>
      <w:r>
        <w:rPr>
          <w:rFonts w:hint="eastAsia" w:ascii="黑体" w:hAnsi="黑体" w:eastAsia="黑体" w:cs="Arial"/>
          <w:b/>
          <w:sz w:val="44"/>
          <w:szCs w:val="44"/>
        </w:rPr>
        <w:t>课程标准</w:t>
      </w:r>
    </w:p>
    <w:p/>
    <w:p/>
    <w:p/>
    <w:p/>
    <w:p/>
    <w:p/>
    <w:p/>
    <w:p/>
    <w:p/>
    <w:p/>
    <w:p/>
    <w:p/>
    <w:p/>
    <w:p/>
    <w:p/>
    <w:p/>
    <w:p/>
    <w:p/>
    <w:p/>
    <w:p/>
    <w:p/>
    <w:p/>
    <w:p/>
    <w:p/>
    <w:p/>
    <w:p/>
    <w:p/>
    <w:p/>
    <w:p/>
    <w:p/>
    <w:p/>
    <w:p/>
    <w:p/>
    <w:p/>
    <w:p/>
    <w:p/>
    <w:p/>
    <w:p>
      <w:pPr>
        <w:jc w:val="center"/>
        <w:outlineLvl w:val="0"/>
      </w:pPr>
      <w:bookmarkStart w:id="23" w:name="_Toc15938"/>
      <w:r>
        <w:rPr>
          <w:rFonts w:hint="eastAsia" w:ascii="黑体" w:hAnsi="黑体" w:eastAsia="黑体" w:cs="Arial"/>
          <w:b/>
          <w:bCs/>
          <w:sz w:val="44"/>
          <w:szCs w:val="44"/>
        </w:rPr>
        <w:t>《</w:t>
      </w:r>
      <w:r>
        <w:rPr>
          <w:rFonts w:hint="eastAsia" w:ascii="黑体" w:hAnsi="黑体" w:eastAsia="黑体" w:cs="Arial"/>
          <w:b/>
          <w:bCs/>
          <w:sz w:val="44"/>
          <w:szCs w:val="44"/>
          <w:lang w:val="en-US" w:eastAsia="zh-CN"/>
        </w:rPr>
        <w:t>新能源汽车电学基础及高压安全</w:t>
      </w:r>
      <w:r>
        <w:rPr>
          <w:rFonts w:hint="eastAsia" w:ascii="黑体" w:hAnsi="黑体" w:eastAsia="黑体" w:cs="Arial"/>
          <w:b/>
          <w:bCs/>
          <w:sz w:val="44"/>
          <w:szCs w:val="44"/>
        </w:rPr>
        <w:t>》</w:t>
      </w:r>
      <w:r>
        <w:rPr>
          <w:rFonts w:hint="eastAsia" w:ascii="黑体" w:hAnsi="黑体" w:eastAsia="黑体" w:cs="Arial"/>
          <w:b/>
          <w:sz w:val="44"/>
          <w:szCs w:val="44"/>
        </w:rPr>
        <w:t>课程标准</w:t>
      </w:r>
      <w:bookmarkEnd w:id="23"/>
    </w:p>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017"/>
        <w:gridCol w:w="1913"/>
        <w:gridCol w:w="334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9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一体化课程名称</w:t>
            </w:r>
          </w:p>
        </w:tc>
        <w:tc>
          <w:tcPr>
            <w:tcW w:w="104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新能源汽车电学基础及高压安全</w:t>
            </w:r>
          </w:p>
        </w:tc>
        <w:tc>
          <w:tcPr>
            <w:tcW w:w="183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基准学时</w:t>
            </w:r>
          </w:p>
        </w:tc>
        <w:tc>
          <w:tcPr>
            <w:tcW w:w="72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000" w:type="pct"/>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一、典型工作任务描述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5000"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lang w:val="en-US" w:eastAsia="zh-CN"/>
              </w:rPr>
              <w:t>本课程是新能源</w:t>
            </w:r>
            <w:r>
              <w:rPr>
                <w:rFonts w:hint="eastAsia" w:ascii="仿宋_GB2312" w:hAnsi="仿宋_GB2312" w:eastAsia="仿宋_GB2312" w:cs="仿宋_GB2312"/>
                <w:sz w:val="24"/>
                <w:szCs w:val="24"/>
              </w:rPr>
              <w:t>汽车检测与维修专业的一门专业</w:t>
            </w:r>
            <w:r>
              <w:rPr>
                <w:rFonts w:hint="eastAsia" w:ascii="仿宋_GB2312" w:hAnsi="仿宋_GB2312" w:eastAsia="仿宋_GB2312" w:cs="仿宋_GB2312"/>
                <w:sz w:val="24"/>
                <w:szCs w:val="24"/>
                <w:lang w:val="en-US" w:eastAsia="zh-CN"/>
              </w:rPr>
              <w:t>基础</w:t>
            </w:r>
            <w:r>
              <w:rPr>
                <w:rFonts w:hint="eastAsia" w:ascii="仿宋_GB2312" w:hAnsi="仿宋_GB2312" w:eastAsia="仿宋_GB2312" w:cs="仿宋_GB2312"/>
                <w:sz w:val="24"/>
                <w:szCs w:val="24"/>
              </w:rPr>
              <w:t>课程，本课程容是学生学习或从事电动汽车维修与检查工作的必备知识。通过本课程的学习，帮助学生从电的基础知识、高压电的危害、电动汽车安全操作及防护措施、维修电动汽车对工位及维修环境的要求、电动汽车维修专用工具的使用、触电急救方法六大方面学习新能源汽车的安全维修操作知识，使学生熟悉电动汽车安全操作及防护措施的基本要求，掌握电动汽车维修及检查工作的安全使用方法，并掌握触电后自救和他救的正确流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本课程是在工学</w:t>
            </w:r>
            <w:r>
              <w:rPr>
                <w:rFonts w:hint="eastAsia" w:ascii="仿宋_GB2312" w:hAnsi="仿宋_GB2312" w:eastAsia="仿宋_GB2312" w:cs="仿宋_GB2312"/>
                <w:sz w:val="24"/>
                <w:szCs w:val="24"/>
                <w:lang w:val="en-US" w:eastAsia="zh-CN"/>
              </w:rPr>
              <w:t>一体</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教学</w:t>
            </w:r>
            <w:r>
              <w:rPr>
                <w:rFonts w:hint="eastAsia" w:ascii="仿宋_GB2312" w:hAnsi="仿宋_GB2312" w:eastAsia="仿宋_GB2312" w:cs="仿宋_GB2312"/>
                <w:sz w:val="24"/>
                <w:szCs w:val="24"/>
              </w:rPr>
              <w:t>过程中，能使学生在实践动手能力培养过程中掌握知识，并运用知识去分析问题、解决问题，培养学生职业安全意识。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000" w:type="pct"/>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二、工作内容分析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jc w:val="center"/>
        </w:trPr>
        <w:tc>
          <w:tcPr>
            <w:tcW w:w="836"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工作对象：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电学基础知识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lang w:val="en-US" w:eastAsia="zh-CN"/>
              </w:rPr>
            </w:pPr>
          </w:p>
        </w:tc>
        <w:tc>
          <w:tcPr>
            <w:tcW w:w="160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工具、材料、设备与资料：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多媒体教学设备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实训车辆（或实验台架）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专用工具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教学课件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教学</w:t>
            </w:r>
            <w:r>
              <w:rPr>
                <w:rFonts w:hint="eastAsia" w:ascii="仿宋_GB2312" w:hAnsi="仿宋_GB2312" w:eastAsia="仿宋_GB2312" w:cs="仿宋_GB2312"/>
                <w:sz w:val="24"/>
                <w:szCs w:val="24"/>
                <w:lang w:val="en-US" w:eastAsia="zh-CN"/>
              </w:rPr>
              <w:t>微课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演示</w:t>
            </w:r>
            <w:r>
              <w:rPr>
                <w:rFonts w:hint="eastAsia" w:ascii="仿宋_GB2312" w:hAnsi="仿宋_GB2312" w:eastAsia="仿宋_GB2312" w:cs="仿宋_GB2312"/>
                <w:sz w:val="24"/>
                <w:szCs w:val="24"/>
                <w:lang w:val="en-US" w:eastAsia="zh-CN"/>
              </w:rPr>
              <w:t>动画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电子书（学生手册）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任务工单</w:t>
            </w:r>
          </w:p>
        </w:tc>
        <w:tc>
          <w:tcPr>
            <w:tcW w:w="25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（1）能够解释电的常用名词的含义，说出常见电器元件的特点和作用；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（2）能够应用欧姆定律和焦耳定律进行实际计算；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（3）能够正确描述电的四大效应，说出其各自的实际用途；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（4）能够正确理解电功和电功率，并根据已知量计算电功和电功率值；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（5）能够分辨并说出直流电与交流电的区别。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6"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汽车电工常用工具的使用</w:t>
            </w:r>
          </w:p>
        </w:tc>
        <w:tc>
          <w:tcPr>
            <w:tcW w:w="160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工具、材料、设备与资料：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多媒体教学设备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实训车辆（或实验台架）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专用工具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教学课件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教学</w:t>
            </w:r>
            <w:r>
              <w:rPr>
                <w:rFonts w:hint="eastAsia" w:ascii="仿宋_GB2312" w:hAnsi="仿宋_GB2312" w:eastAsia="仿宋_GB2312" w:cs="仿宋_GB2312"/>
                <w:sz w:val="24"/>
                <w:szCs w:val="24"/>
                <w:lang w:val="en-US" w:eastAsia="zh-CN"/>
              </w:rPr>
              <w:t>微课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演示</w:t>
            </w:r>
            <w:r>
              <w:rPr>
                <w:rFonts w:hint="eastAsia" w:ascii="仿宋_GB2312" w:hAnsi="仿宋_GB2312" w:eastAsia="仿宋_GB2312" w:cs="仿宋_GB2312"/>
                <w:sz w:val="24"/>
                <w:szCs w:val="24"/>
                <w:lang w:val="en-US" w:eastAsia="zh-CN"/>
              </w:rPr>
              <w:t>动画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电子书（学生手册）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任务工单</w:t>
            </w:r>
          </w:p>
        </w:tc>
        <w:tc>
          <w:tcPr>
            <w:tcW w:w="25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（1）学会</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"https://baike.baidu.com/item/%E6%95%B0%E5%AD%97%E4%B8%87%E7%94%A8%E8%A1%A8/5343898" \t "https://baike.baidu.com/item/%E6%96%B0%E8%83%BD%E6%BA%90%E6%B1%BD%E8%BD%A6%E7%94%B5%E5%AD%A6%E5%9F%BA%E7%A1%80%E4%B8%8E%E9%AB%98%E5%8E%8B%E5%AE%89%E5%85%A8/_blank"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rPr>
              <w:t>数字万用表</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 xml:space="preserve">的种类和使用方法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（2）学会电学参数的测量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（3）学会常用绝缘工具的识别和使用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（4）学会绝缘万用表的使用方法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（5）学会兆欧表的使用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（6）学会内阻测量仪的使用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（7）学会接地电阻测试表的使用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6"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常用</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"https://baike.baidu.com/item/%E7%94%B5%E5%AD%90%E5%85%83%E5%99%A8%E4%BB%B6/9042493" \t "https://baike.baidu.com/item/%E6%96%B0%E8%83%BD%E6%BA%90%E6%B1%BD%E8%BD%A6%E7%94%B5%E5%AD%A6%E5%9F%BA%E7%A1%80%E4%B8%8E%E9%AB%98%E5%8E%8B%E5%AE%89%E5%85%A8/_blank"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电子元器件</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特性</w:t>
            </w:r>
          </w:p>
        </w:tc>
        <w:tc>
          <w:tcPr>
            <w:tcW w:w="160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工具、材料、设备与资料：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多媒体教学设备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实训车辆（或实验台架）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专用工具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教学课件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教学</w:t>
            </w:r>
            <w:r>
              <w:rPr>
                <w:rFonts w:hint="eastAsia" w:ascii="仿宋_GB2312" w:hAnsi="仿宋_GB2312" w:eastAsia="仿宋_GB2312" w:cs="仿宋_GB2312"/>
                <w:sz w:val="24"/>
                <w:szCs w:val="24"/>
                <w:lang w:val="en-US" w:eastAsia="zh-CN"/>
              </w:rPr>
              <w:t>微课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演示</w:t>
            </w:r>
            <w:r>
              <w:rPr>
                <w:rFonts w:hint="eastAsia" w:ascii="仿宋_GB2312" w:hAnsi="仿宋_GB2312" w:eastAsia="仿宋_GB2312" w:cs="仿宋_GB2312"/>
                <w:sz w:val="24"/>
                <w:szCs w:val="24"/>
                <w:lang w:val="en-US" w:eastAsia="zh-CN"/>
              </w:rPr>
              <w:t>动画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电子书（学生手册）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任务工单</w:t>
            </w:r>
          </w:p>
        </w:tc>
        <w:tc>
          <w:tcPr>
            <w:tcW w:w="25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（1）学会常用电子元器件特性：可变电阻、电容器、线圈、电感、继电器、熔断器、三极管、二极管、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（2）学会常用电子元器件测量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（3）学会电压、电流、电阻、电动率的测量。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4.高压电基础知识</w:t>
            </w:r>
          </w:p>
        </w:tc>
        <w:tc>
          <w:tcPr>
            <w:tcW w:w="160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工具、材料、设备与资料：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多媒体教学设备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实训车辆（或实验台架）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专用工具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教学课件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教学</w:t>
            </w:r>
            <w:r>
              <w:rPr>
                <w:rFonts w:hint="eastAsia" w:ascii="仿宋_GB2312" w:hAnsi="仿宋_GB2312" w:eastAsia="仿宋_GB2312" w:cs="仿宋_GB2312"/>
                <w:sz w:val="24"/>
                <w:szCs w:val="24"/>
                <w:lang w:val="en-US" w:eastAsia="zh-CN"/>
              </w:rPr>
              <w:t>微课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演示</w:t>
            </w:r>
            <w:r>
              <w:rPr>
                <w:rFonts w:hint="eastAsia" w:ascii="仿宋_GB2312" w:hAnsi="仿宋_GB2312" w:eastAsia="仿宋_GB2312" w:cs="仿宋_GB2312"/>
                <w:sz w:val="24"/>
                <w:szCs w:val="24"/>
                <w:lang w:val="en-US" w:eastAsia="zh-CN"/>
              </w:rPr>
              <w:t>动画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电子书（学生手册）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任务工单</w:t>
            </w:r>
          </w:p>
        </w:tc>
        <w:tc>
          <w:tcPr>
            <w:tcW w:w="2556" w:type="pct"/>
            <w:gridSpan w:val="2"/>
            <w:noWrap w:val="0"/>
            <w:vAlign w:val="top"/>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（1）能够说出工业用电高低压划分和汽车AB类电压的等级划分；</w:t>
            </w:r>
          </w:p>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（2）能够阐述电器事故的种类和电气系统作业中可能出现的危险事故；</w:t>
            </w:r>
          </w:p>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（3）能够牢记安全电压和安全电流，并根据外部电压和人体电阻计算通过人体的电流；</w:t>
            </w:r>
          </w:p>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（4）能够说出电流对人体的影响，以及通过人体的电流的三个等级；</w:t>
            </w:r>
          </w:p>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（5）能够正确辨别触电事故的种类和触电的方式；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（6）能够说出高压电弧的产生及应用。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5.高压安全与防护</w:t>
            </w:r>
          </w:p>
        </w:tc>
        <w:tc>
          <w:tcPr>
            <w:tcW w:w="160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多媒体教学设备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实训车辆（或实验台架）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专用工具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教学课件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教学</w:t>
            </w:r>
            <w:r>
              <w:rPr>
                <w:rFonts w:hint="eastAsia" w:ascii="仿宋_GB2312" w:hAnsi="仿宋_GB2312" w:eastAsia="仿宋_GB2312" w:cs="仿宋_GB2312"/>
                <w:sz w:val="24"/>
                <w:szCs w:val="24"/>
                <w:lang w:val="en-US" w:eastAsia="zh-CN"/>
              </w:rPr>
              <w:t>微课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演示</w:t>
            </w:r>
            <w:r>
              <w:rPr>
                <w:rFonts w:hint="eastAsia" w:ascii="仿宋_GB2312" w:hAnsi="仿宋_GB2312" w:eastAsia="仿宋_GB2312" w:cs="仿宋_GB2312"/>
                <w:sz w:val="24"/>
                <w:szCs w:val="24"/>
                <w:lang w:val="en-US" w:eastAsia="zh-CN"/>
              </w:rPr>
              <w:t>动画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电子书（学生手册）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任务工单</w:t>
            </w:r>
          </w:p>
        </w:tc>
        <w:tc>
          <w:tcPr>
            <w:tcW w:w="25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（1）能够理解我国电力安全法规的相关规定；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（2）能够了解电动汽车高压标准；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（3）能够正确使用并保养高压防护工具；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（4）能够熟练使用高压检测设备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（5）能够严格准确地按照安全操作流程进行电动汽车断电操作；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（6）能够熟知企业电力安全规程；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（7）能够理解维修设备以及车辆自身的高压防护措施及其原理。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6.高压安全法规要求</w:t>
            </w:r>
          </w:p>
        </w:tc>
        <w:tc>
          <w:tcPr>
            <w:tcW w:w="160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工具、材料、设备与资料：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多媒体教学设备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实训车辆（或实验台架）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专用工具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教学课件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教学</w:t>
            </w:r>
            <w:r>
              <w:rPr>
                <w:rFonts w:hint="eastAsia" w:ascii="仿宋_GB2312" w:hAnsi="仿宋_GB2312" w:eastAsia="仿宋_GB2312" w:cs="仿宋_GB2312"/>
                <w:sz w:val="24"/>
                <w:szCs w:val="24"/>
                <w:lang w:val="en-US" w:eastAsia="zh-CN"/>
              </w:rPr>
              <w:t>微课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演示</w:t>
            </w:r>
            <w:r>
              <w:rPr>
                <w:rFonts w:hint="eastAsia" w:ascii="仿宋_GB2312" w:hAnsi="仿宋_GB2312" w:eastAsia="仿宋_GB2312" w:cs="仿宋_GB2312"/>
                <w:sz w:val="24"/>
                <w:szCs w:val="24"/>
                <w:lang w:val="en-US" w:eastAsia="zh-CN"/>
              </w:rPr>
              <w:t>动画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电子书（学生手册）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任务工单</w:t>
            </w:r>
          </w:p>
        </w:tc>
        <w:tc>
          <w:tcPr>
            <w:tcW w:w="2556" w:type="pct"/>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（1）国家高压法规要求；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（2）售后维修人员资质要求；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（3）高压中止（切断回路）标准操作流程；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）能够熟知触电急救的处理流程；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）能够根据触电情况将触电者脱离电源；</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）能够对触电伤员进行急救处理；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）能够熟练掌握心肺复的急救方法。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三、课程目标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学习完本课程后，学生应当能够：</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（1）熟知电的基础知识，能够分辨并说出直流电与交流电的区别，说出常见电器元件的特点和作用；</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（2）了解电压等级划分，熟知电流对人体的影响，能够正确辨别触电事故的种类和触电的方式；</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（3）了解电动汽车高压标准，熟知企业电力安全规程，能够正确使用高压防护工具、高压检测设备，严格准确地按照安全操作流程进行电动汽车断电操作；</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（4）熟知触电急救的处理流程，能够根据触电情况将触电者脱离电源；</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（5）掌握心肺复的急救方法，能够对触电伤员进行急救处理；</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（6）熟知车辆的高压系统注组成部分，看懂拓扑图并描述个高压部件在车辆上的安装位置、功能、结构，并对车辆的基本故障进行排查；</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（7）熟知整车高压线束的分布，能够介绍各段高压线束的各个脚位的功能。</w:t>
            </w:r>
          </w:p>
          <w:p>
            <w:pPr>
              <w:keepNext w:val="0"/>
              <w:keepLines w:val="0"/>
              <w:pageBreakBefore w:val="0"/>
              <w:widowControl w:val="0"/>
              <w:kinsoku/>
              <w:wordWrap/>
              <w:overflowPunct/>
              <w:topLinePunct w:val="0"/>
              <w:autoSpaceDE/>
              <w:autoSpaceDN/>
              <w:bidi w:val="0"/>
              <w:adjustRightInd/>
              <w:snapToGrid/>
              <w:spacing w:line="360" w:lineRule="exact"/>
              <w:ind w:left="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）能够自主制定工作计划； </w:t>
            </w:r>
          </w:p>
          <w:p>
            <w:pPr>
              <w:keepNext w:val="0"/>
              <w:keepLines w:val="0"/>
              <w:pageBreakBefore w:val="0"/>
              <w:widowControl w:val="0"/>
              <w:kinsoku/>
              <w:wordWrap/>
              <w:overflowPunct/>
              <w:topLinePunct w:val="0"/>
              <w:autoSpaceDE/>
              <w:autoSpaceDN/>
              <w:bidi w:val="0"/>
              <w:adjustRightInd/>
              <w:snapToGrid/>
              <w:spacing w:line="360" w:lineRule="exact"/>
              <w:ind w:left="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）具备正确使用高压防护工具、高压检测设备，严格准确地按照安全操作流程进行电动汽车断电操作；</w:t>
            </w:r>
          </w:p>
          <w:p>
            <w:pPr>
              <w:keepNext w:val="0"/>
              <w:keepLines w:val="0"/>
              <w:pageBreakBefore w:val="0"/>
              <w:widowControl w:val="0"/>
              <w:kinsoku/>
              <w:wordWrap/>
              <w:overflowPunct/>
              <w:topLinePunct w:val="0"/>
              <w:autoSpaceDE/>
              <w:autoSpaceDN/>
              <w:bidi w:val="0"/>
              <w:adjustRightInd/>
              <w:snapToGrid/>
              <w:spacing w:line="360" w:lineRule="exact"/>
              <w:ind w:left="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）能运用心肺复的急救方法，对触电伤员进行急救处理；</w:t>
            </w:r>
          </w:p>
          <w:p>
            <w:pPr>
              <w:keepNext w:val="0"/>
              <w:keepLines w:val="0"/>
              <w:pageBreakBefore w:val="0"/>
              <w:widowControl w:val="0"/>
              <w:kinsoku/>
              <w:wordWrap/>
              <w:overflowPunct/>
              <w:topLinePunct w:val="0"/>
              <w:autoSpaceDE/>
              <w:autoSpaceDN/>
              <w:bidi w:val="0"/>
              <w:adjustRightInd/>
              <w:snapToGrid/>
              <w:spacing w:line="360" w:lineRule="exact"/>
              <w:ind w:left="43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）能通过各种媒体查找资源，具备较强的信息检索能力；</w:t>
            </w:r>
          </w:p>
          <w:p>
            <w:pPr>
              <w:keepNext w:val="0"/>
              <w:keepLines w:val="0"/>
              <w:pageBreakBefore w:val="0"/>
              <w:widowControl w:val="0"/>
              <w:kinsoku/>
              <w:wordWrap/>
              <w:overflowPunct/>
              <w:topLinePunct w:val="0"/>
              <w:autoSpaceDE/>
              <w:autoSpaceDN/>
              <w:bidi w:val="0"/>
              <w:adjustRightInd/>
              <w:snapToGrid/>
              <w:spacing w:line="360" w:lineRule="exact"/>
              <w:ind w:left="435"/>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）能进行自主学习，掌握新知识、新技能。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四、学习内容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000" w:type="pct"/>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电学基础知识；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2.汽车电工常用工具的使用；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3.常用</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"https://baike.baidu.com/item/%E7%94%B5%E5%AD%90%E5%85%83%E5%99%A8%E4%BB%B6/9042493" \t "https://baike.baidu.com/item/%E6%96%B0%E8%83%BD%E6%BA%90%E6%B1%BD%E8%BD%A6%E7%94%B5%E5%AD%A6%E5%9F%BA%E7%A1%80%E4%B8%8E%E9%AB%98%E5%8E%8B%E5%AE%89%E5%85%A8/_blank"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电子元器件</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特性；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4.高压电基础知识；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5.高压安全与防护；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sz w:val="24"/>
                <w:szCs w:val="24"/>
                <w:lang w:val="en-US" w:eastAsia="zh-CN"/>
              </w:rPr>
              <w:t>6.高压安全法规要求。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五、参考性学习任务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名  称</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常用电学参数概念 </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电路基础元件的识别</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"https://baike.baidu.com/item/%E6%95%B0%E5%AD%97%E4%B8%87%E7%94%A8%E8%A1%A8/5343898" \t "https://baike.baidu.com/item/%E6%96%B0%E8%83%BD%E6%BA%90%E6%B1%BD%E8%BD%A6%E7%94%B5%E5%AD%A6%E5%9F%BA%E7%A1%80%E4%B8%8E%E9%AB%98%E5%8E%8B%E5%AE%89%E5%85%A8/_blank"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数字万用表</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的种类和使用方法</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电学参数的测量 </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常用绝缘工具的识别和使用</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常用电子元器件特性</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常用电子元器件测量</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电压等级与安全电压 </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复习段考</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高压故障电流带来的危害</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新能源汽车高压区域识别 </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避免高压伤害的防护措施</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维修车间安全防护与急救措施</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新能源汽车高压作业检测设备及工具的使用 </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国家高压法规要求</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售后维修人员资质要求 </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高压中止（切断回路）标准操作流程 </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60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考试</w:t>
            </w:r>
          </w:p>
        </w:tc>
        <w:tc>
          <w:tcPr>
            <w:tcW w:w="255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000" w:type="pct"/>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六、教学实施建议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000"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1.采用</w:t>
            </w:r>
            <w:r>
              <w:rPr>
                <w:rFonts w:hint="eastAsia" w:ascii="仿宋_GB2312" w:hAnsi="仿宋_GB2312" w:eastAsia="仿宋_GB2312" w:cs="仿宋_GB2312"/>
                <w:sz w:val="24"/>
                <w:szCs w:val="24"/>
                <w:lang w:val="en-US" w:eastAsia="zh-CN"/>
              </w:rPr>
              <w:t>多媒体教学</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适用于主要教学章节的理论知识教学内容</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理实一体化现场教学，大部分工艺操作过程的讲解，在多媒体教学的基础上采用</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3.教学实施过程中要注重强调安全操作的重要性，如</w:t>
            </w:r>
            <w:r>
              <w:rPr>
                <w:rFonts w:hint="eastAsia" w:ascii="仿宋_GB2312" w:hAnsi="仿宋_GB2312" w:eastAsia="仿宋_GB2312" w:cs="仿宋_GB2312"/>
                <w:sz w:val="24"/>
                <w:szCs w:val="24"/>
                <w:lang w:val="en-US" w:eastAsia="zh-CN"/>
              </w:rPr>
              <w:t>实训操作</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安全</w:t>
            </w:r>
            <w:r>
              <w:rPr>
                <w:rFonts w:hint="eastAsia" w:ascii="仿宋_GB2312" w:hAnsi="仿宋_GB2312" w:eastAsia="仿宋_GB2312" w:cs="仿宋_GB2312"/>
                <w:sz w:val="24"/>
                <w:szCs w:val="24"/>
              </w:rPr>
              <w:t>意识，使用电器设备用电安全等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4.教学实施过程中要</w:t>
            </w:r>
            <w:r>
              <w:rPr>
                <w:rFonts w:hint="eastAsia" w:ascii="仿宋_GB2312" w:hAnsi="仿宋_GB2312" w:eastAsia="仿宋_GB2312" w:cs="仿宋_GB2312"/>
                <w:sz w:val="24"/>
                <w:szCs w:val="24"/>
                <w:lang w:val="en-US" w:eastAsia="zh-CN"/>
              </w:rPr>
              <w:t>着重培养学生的自学能力、洞察能力、动手能力、分析和解决问题的能力、协作和互助能力、交际能力等综合能力</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5.要增加专项技能训练反复强化基础技能，</w:t>
            </w:r>
            <w:r>
              <w:rPr>
                <w:rFonts w:hint="eastAsia" w:ascii="仿宋_GB2312" w:hAnsi="仿宋_GB2312" w:eastAsia="仿宋_GB2312" w:cs="仿宋_GB2312"/>
                <w:sz w:val="24"/>
                <w:szCs w:val="24"/>
                <w:lang w:val="en-US" w:eastAsia="zh-CN"/>
              </w:rPr>
              <w:t>提高职业素养和职业</w:t>
            </w:r>
            <w:r>
              <w:rPr>
                <w:rFonts w:hint="eastAsia" w:ascii="仿宋_GB2312" w:hAnsi="仿宋_GB2312" w:eastAsia="仿宋_GB2312" w:cs="仿宋_GB2312"/>
                <w:sz w:val="24"/>
                <w:szCs w:val="24"/>
              </w:rPr>
              <w:t>技能。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学习模块的设计以</w:t>
            </w:r>
            <w:r>
              <w:rPr>
                <w:rFonts w:hint="eastAsia" w:ascii="仿宋_GB2312" w:hAnsi="仿宋_GB2312" w:eastAsia="仿宋_GB2312" w:cs="仿宋_GB2312"/>
                <w:sz w:val="24"/>
                <w:szCs w:val="24"/>
                <w:lang w:val="en-US" w:eastAsia="zh-CN"/>
              </w:rPr>
              <w:t>吉利</w:t>
            </w:r>
            <w:r>
              <w:rPr>
                <w:rFonts w:hint="eastAsia" w:ascii="仿宋_GB2312" w:hAnsi="仿宋_GB2312" w:eastAsia="仿宋_GB2312" w:cs="仿宋_GB2312"/>
                <w:sz w:val="24"/>
                <w:szCs w:val="24"/>
              </w:rPr>
              <w:t>EV</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50新能源汽车为主，其他车型为辅。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七、教学考核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000"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1.学习任务过程性考核</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每个学习任务可采用自评、组内互评、组间互评、教师评价等方式进行考核。各学习任务成绩占比为：</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学习任务1占5%；</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学习任务2占5%；</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学习任务3占5%；</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学习任务4占</w:t>
            </w: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学习任务5占</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学习任务6占</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学习任务7占</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学习任务8占5%；</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学习任务9占</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学习任务10占5%；</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学习任务11占5%；</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学习任务1</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占5%；</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学习任务1</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占5%；</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学习任务1</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占</w:t>
            </w: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学习任务1</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占</w:t>
            </w: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学习任务1</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占</w:t>
            </w: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2.课程终极性考核考核</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完成各学习任务后，课程终结考核：学生根据任务书，独立完成实施方案，并根据实施方案独立完成</w:t>
            </w:r>
            <w:r>
              <w:rPr>
                <w:rFonts w:hint="eastAsia" w:ascii="仿宋_GB2312" w:hAnsi="仿宋_GB2312" w:eastAsia="仿宋_GB2312" w:cs="仿宋_GB2312"/>
                <w:sz w:val="24"/>
                <w:szCs w:val="24"/>
                <w:lang w:val="en-US" w:eastAsia="zh-CN"/>
              </w:rPr>
              <w:t>综合实训与考证</w:t>
            </w:r>
            <w:r>
              <w:rPr>
                <w:rFonts w:hint="eastAsia" w:ascii="仿宋_GB2312" w:hAnsi="仿宋_GB2312" w:eastAsia="仿宋_GB2312" w:cs="仿宋_GB2312"/>
                <w:sz w:val="24"/>
                <w:szCs w:val="24"/>
              </w:rPr>
              <w:t>工作。考核成绩作为课程终极性考核成绩。</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3.课程成绩计算</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课程成绩＝学习任务成绩×</w:t>
            </w:r>
            <w:r>
              <w:rPr>
                <w:rFonts w:hint="eastAsia" w:ascii="仿宋_GB2312" w:hAnsi="仿宋_GB2312" w:eastAsia="仿宋_GB2312" w:cs="仿宋_GB2312"/>
                <w:color w:val="000000"/>
                <w:sz w:val="24"/>
                <w:szCs w:val="24"/>
              </w:rPr>
              <w:t>60%＋课程终极考核</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40%。</w:t>
            </w:r>
          </w:p>
        </w:tc>
      </w:tr>
    </w:tbl>
    <w:p>
      <w:pPr>
        <w:rPr>
          <w:rFonts w:hint="eastAsia"/>
        </w:rPr>
      </w:pPr>
    </w:p>
    <w:p/>
    <w:p/>
    <w:p/>
    <w:p/>
    <w:p/>
    <w:p/>
    <w:p/>
    <w:p/>
    <w:p/>
    <w:p/>
    <w:p/>
    <w:p/>
    <w:p/>
    <w:p/>
    <w:p/>
    <w:p/>
    <w:p/>
    <w:p/>
    <w:p/>
    <w:p/>
    <w:p/>
    <w:p/>
    <w:p/>
    <w:p/>
    <w:p/>
    <w:p/>
    <w:p/>
    <w:p/>
    <w:p/>
    <w:p/>
    <w:p/>
    <w:p>
      <w:pPr>
        <w:rPr>
          <w:rStyle w:val="10"/>
          <w:rFonts w:hint="eastAsia"/>
          <w:i w:val="0"/>
          <w:sz w:val="28"/>
          <w:szCs w:val="28"/>
        </w:rPr>
        <w:sectPr>
          <w:headerReference r:id="rId3" w:type="default"/>
          <w:footerReference r:id="rId4" w:type="default"/>
          <w:pgSz w:w="11907" w:h="16839"/>
          <w:pgMar w:top="1701" w:right="1418" w:bottom="1418" w:left="1588" w:header="851" w:footer="992" w:gutter="0"/>
          <w:pgNumType w:start="1"/>
          <w:cols w:space="720" w:num="1"/>
          <w:docGrid w:linePitch="312" w:charSpace="0"/>
        </w:sectPr>
      </w:pPr>
    </w:p>
    <w:p>
      <w:pPr>
        <w:rPr>
          <w:rFonts w:hint="eastAsia" w:ascii="Calibri" w:hAnsi="Calibri"/>
        </w:rPr>
        <w:sectPr>
          <w:headerReference r:id="rId5" w:type="default"/>
          <w:type w:val="continuous"/>
          <w:pgSz w:w="11907" w:h="16839"/>
          <w:pgMar w:top="1701" w:right="1418" w:bottom="1418" w:left="1588" w:header="851" w:footer="992" w:gutter="0"/>
          <w:cols w:space="720" w:num="1"/>
          <w:docGrid w:linePitch="312" w:charSpace="0"/>
        </w:sectPr>
      </w:pPr>
    </w:p>
    <w:p>
      <w:pPr>
        <w:rPr>
          <w:rFonts w:ascii="Calibri" w:hAnsi="Calibri"/>
        </w:rPr>
      </w:pPr>
    </w:p>
    <w:p>
      <w:pPr>
        <w:rPr>
          <w:rFonts w:hint="eastAsia" w:ascii="Calibri" w:hAnsi="Calibri"/>
        </w:rPr>
        <w:sectPr>
          <w:headerReference r:id="rId6" w:type="default"/>
          <w:type w:val="continuous"/>
          <w:pgSz w:w="11907" w:h="16839"/>
          <w:pgMar w:top="1701" w:right="1418" w:bottom="1418" w:left="1588" w:header="851" w:footer="992" w:gutter="0"/>
          <w:cols w:space="720" w:num="1"/>
          <w:docGrid w:linePitch="312" w:charSpace="0"/>
        </w:sectPr>
      </w:pPr>
      <w:r>
        <w:rPr>
          <w:rFonts w:ascii="Calibri" w:hAnsi="Calibri"/>
        </w:rPr>
        <w:t xml:space="preserve">    </w:t>
      </w:r>
    </w:p>
    <w:p>
      <w:pPr>
        <w:jc w:val="center"/>
        <w:rPr>
          <w:kern w:val="0"/>
          <w:sz w:val="32"/>
          <w:szCs w:val="32"/>
        </w:rPr>
      </w:pPr>
    </w:p>
    <w:p>
      <w:pPr>
        <w:jc w:val="center"/>
        <w:rPr>
          <w:sz w:val="36"/>
          <w:szCs w:val="36"/>
        </w:rPr>
      </w:pPr>
      <w:r>
        <w:rPr>
          <w:rFonts w:cs="Arial"/>
          <w:sz w:val="36"/>
          <w:szCs w:val="36"/>
        </w:rPr>
        <w:drawing>
          <wp:inline distT="0" distB="0" distL="114300" distR="114300">
            <wp:extent cx="4247515" cy="887095"/>
            <wp:effectExtent l="0" t="0" r="635" b="825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9"/>
                    <a:stretch>
                      <a:fillRect/>
                    </a:stretch>
                  </pic:blipFill>
                  <pic:spPr>
                    <a:xfrm>
                      <a:off x="0" y="0"/>
                      <a:ext cx="4247515" cy="887095"/>
                    </a:xfrm>
                    <a:prstGeom prst="rect">
                      <a:avLst/>
                    </a:prstGeom>
                    <a:noFill/>
                    <a:ln>
                      <a:noFill/>
                    </a:ln>
                  </pic:spPr>
                </pic:pic>
              </a:graphicData>
            </a:graphic>
          </wp:inline>
        </w:drawing>
      </w:r>
    </w:p>
    <w:p>
      <w:pPr>
        <w:jc w:val="center"/>
        <w:rPr>
          <w:sz w:val="36"/>
          <w:szCs w:val="36"/>
        </w:rPr>
      </w:pPr>
    </w:p>
    <w:p>
      <w:pPr>
        <w:jc w:val="center"/>
        <w:outlineLvl w:val="0"/>
        <w:rPr>
          <w:rFonts w:ascii="黑体" w:hAnsi="黑体" w:eastAsia="黑体"/>
          <w:b/>
          <w:sz w:val="52"/>
          <w:szCs w:val="52"/>
        </w:rPr>
      </w:pPr>
      <w:bookmarkStart w:id="24" w:name="_Toc12778"/>
      <w:r>
        <w:rPr>
          <w:rFonts w:hint="eastAsia" w:ascii="黑体" w:hAnsi="黑体" w:eastAsia="黑体" w:cs="黑体"/>
          <w:b/>
          <w:sz w:val="52"/>
          <w:szCs w:val="52"/>
          <w:lang w:eastAsia="zh-CN"/>
        </w:rPr>
        <w:t>新能源汽车检测与维修</w:t>
      </w:r>
      <w:r>
        <w:rPr>
          <w:rFonts w:hint="eastAsia" w:ascii="黑体" w:hAnsi="黑体" w:eastAsia="黑体"/>
          <w:b/>
          <w:sz w:val="52"/>
          <w:szCs w:val="52"/>
        </w:rPr>
        <w:t>专业</w:t>
      </w:r>
      <w:bookmarkEnd w:id="24"/>
    </w:p>
    <w:p>
      <w:pPr>
        <w:jc w:val="center"/>
        <w:rPr>
          <w:rFonts w:ascii="黑体" w:hAnsi="黑体" w:eastAsia="黑体"/>
          <w:b/>
          <w:sz w:val="52"/>
          <w:szCs w:val="52"/>
        </w:rPr>
      </w:pPr>
      <w:r>
        <w:rPr>
          <w:rFonts w:hint="eastAsia" w:ascii="黑体" w:hAnsi="黑体" w:eastAsia="黑体" w:cs="黑体"/>
          <w:b/>
          <w:sz w:val="52"/>
          <w:szCs w:val="52"/>
          <w:lang w:eastAsia="zh-CN"/>
        </w:rPr>
        <w:t>《新能源汽车概述》</w:t>
      </w:r>
      <w:r>
        <w:rPr>
          <w:rFonts w:hint="eastAsia" w:ascii="黑体" w:hAnsi="黑体" w:eastAsia="黑体" w:cs="黑体"/>
          <w:b/>
          <w:sz w:val="52"/>
          <w:szCs w:val="52"/>
        </w:rPr>
        <w:t>课程标准</w:t>
      </w:r>
    </w:p>
    <w:p>
      <w:pPr>
        <w:rPr>
          <w:rFonts w:ascii="Calibri" w:hAnsi="Calibri"/>
        </w:rPr>
      </w:pPr>
      <w:r>
        <w:rPr>
          <w:rFonts w:ascii="Calibri" w:hAnsi="Calibri"/>
        </w:rPr>
        <w:t xml:space="preserve"> </w:t>
      </w: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spacing w:before="0" w:beforeLines="0" w:after="0" w:afterLines="0" w:line="360" w:lineRule="auto"/>
        <w:ind w:left="0" w:leftChars="0" w:right="0" w:rightChars="0" w:firstLine="0" w:firstLineChars="0"/>
        <w:jc w:val="center"/>
        <w:rPr>
          <w:sz w:val="36"/>
          <w:szCs w:val="36"/>
        </w:rPr>
      </w:pPr>
      <w:r>
        <w:rPr>
          <w:rFonts w:ascii="宋体" w:hAnsi="宋体" w:eastAsia="宋体"/>
          <w:sz w:val="36"/>
          <w:szCs w:val="36"/>
        </w:rPr>
        <w:t>目</w:t>
      </w:r>
      <w:r>
        <w:rPr>
          <w:rFonts w:hint="eastAsia" w:ascii="宋体" w:hAnsi="宋体"/>
          <w:sz w:val="36"/>
          <w:szCs w:val="36"/>
          <w:lang w:val="en-US" w:eastAsia="zh-CN"/>
        </w:rPr>
        <w:t xml:space="preserve">  </w:t>
      </w:r>
      <w:r>
        <w:rPr>
          <w:rFonts w:ascii="宋体" w:hAnsi="宋体" w:eastAsia="宋体"/>
          <w:sz w:val="36"/>
          <w:szCs w:val="36"/>
        </w:rPr>
        <w:t>录</w:t>
      </w:r>
    </w:p>
    <w:p>
      <w:pPr>
        <w:pStyle w:val="12"/>
        <w:tabs>
          <w:tab w:val="right" w:leader="dot" w:pos="8901"/>
        </w:tabs>
        <w:spacing w:line="360" w:lineRule="auto"/>
        <w:rPr>
          <w:b/>
          <w:sz w:val="28"/>
          <w:szCs w:val="28"/>
        </w:rPr>
      </w:pPr>
      <w:r>
        <w:rPr>
          <w:rFonts w:ascii="Calibri" w:hAnsi="Calibri"/>
          <w:sz w:val="28"/>
          <w:szCs w:val="28"/>
        </w:rPr>
        <w:fldChar w:fldCharType="begin"/>
      </w:r>
      <w:r>
        <w:rPr>
          <w:rFonts w:ascii="Calibri" w:hAnsi="Calibri"/>
          <w:sz w:val="28"/>
          <w:szCs w:val="28"/>
        </w:rPr>
        <w:instrText xml:space="preserve">TOC \o "1-2" \h \u </w:instrText>
      </w:r>
      <w:r>
        <w:rPr>
          <w:rFonts w:ascii="Calibri" w:hAnsi="Calibri"/>
          <w:sz w:val="28"/>
          <w:szCs w:val="28"/>
        </w:rPr>
        <w:fldChar w:fldCharType="separate"/>
      </w:r>
      <w:r>
        <w:rPr>
          <w:rFonts w:ascii="Calibri" w:hAnsi="Calibri"/>
          <w:b/>
          <w:sz w:val="28"/>
          <w:szCs w:val="28"/>
        </w:rPr>
        <w:fldChar w:fldCharType="begin"/>
      </w:r>
      <w:r>
        <w:rPr>
          <w:rFonts w:ascii="Calibri" w:hAnsi="Calibri"/>
          <w:b/>
          <w:sz w:val="28"/>
          <w:szCs w:val="28"/>
        </w:rPr>
        <w:instrText xml:space="preserve"> HYPERLINK \l _Toc2446 </w:instrText>
      </w:r>
      <w:r>
        <w:rPr>
          <w:rFonts w:ascii="Calibri" w:hAnsi="Calibri"/>
          <w:b/>
          <w:sz w:val="28"/>
          <w:szCs w:val="28"/>
        </w:rPr>
        <w:fldChar w:fldCharType="separate"/>
      </w:r>
      <w:r>
        <w:rPr>
          <w:rFonts w:hint="eastAsia" w:ascii="黑体" w:hAnsi="黑体" w:eastAsia="黑体" w:cs="Arial"/>
          <w:b/>
          <w:bCs/>
          <w:sz w:val="28"/>
          <w:szCs w:val="44"/>
        </w:rPr>
        <w:t>一、课程基本信息</w:t>
      </w:r>
      <w:r>
        <w:rPr>
          <w:b/>
          <w:sz w:val="28"/>
          <w:szCs w:val="28"/>
        </w:rPr>
        <w:tab/>
      </w:r>
      <w:r>
        <w:rPr>
          <w:b/>
          <w:sz w:val="28"/>
          <w:szCs w:val="28"/>
        </w:rPr>
        <w:fldChar w:fldCharType="begin"/>
      </w:r>
      <w:r>
        <w:rPr>
          <w:b/>
          <w:sz w:val="28"/>
          <w:szCs w:val="28"/>
        </w:rPr>
        <w:instrText xml:space="preserve"> PAGEREF _Toc2446 \h </w:instrText>
      </w:r>
      <w:r>
        <w:rPr>
          <w:b/>
          <w:sz w:val="28"/>
          <w:szCs w:val="28"/>
        </w:rPr>
        <w:fldChar w:fldCharType="separate"/>
      </w:r>
      <w:r>
        <w:rPr>
          <w:b/>
          <w:sz w:val="28"/>
          <w:szCs w:val="28"/>
        </w:rPr>
        <w:t>3</w:t>
      </w:r>
      <w:r>
        <w:rPr>
          <w:b/>
          <w:sz w:val="28"/>
          <w:szCs w:val="28"/>
        </w:rPr>
        <w:fldChar w:fldCharType="end"/>
      </w:r>
      <w:r>
        <w:rPr>
          <w:rFonts w:ascii="Calibri" w:hAnsi="Calibri"/>
          <w:b/>
          <w:sz w:val="28"/>
          <w:szCs w:val="28"/>
        </w:rPr>
        <w:fldChar w:fldCharType="end"/>
      </w:r>
    </w:p>
    <w:p>
      <w:pPr>
        <w:pStyle w:val="12"/>
        <w:tabs>
          <w:tab w:val="right" w:leader="dot" w:pos="8901"/>
        </w:tabs>
        <w:spacing w:line="360" w:lineRule="auto"/>
        <w:rPr>
          <w:b/>
          <w:sz w:val="28"/>
          <w:szCs w:val="28"/>
        </w:rPr>
      </w:pPr>
      <w:r>
        <w:rPr>
          <w:rFonts w:ascii="Calibri" w:hAnsi="Calibri"/>
          <w:b/>
          <w:sz w:val="28"/>
          <w:szCs w:val="28"/>
        </w:rPr>
        <w:fldChar w:fldCharType="begin"/>
      </w:r>
      <w:r>
        <w:rPr>
          <w:rFonts w:ascii="Calibri" w:hAnsi="Calibri"/>
          <w:b/>
          <w:sz w:val="28"/>
          <w:szCs w:val="28"/>
        </w:rPr>
        <w:instrText xml:space="preserve"> HYPERLINK \l _Toc16250 </w:instrText>
      </w:r>
      <w:r>
        <w:rPr>
          <w:rFonts w:ascii="Calibri" w:hAnsi="Calibri"/>
          <w:b/>
          <w:sz w:val="28"/>
          <w:szCs w:val="28"/>
        </w:rPr>
        <w:fldChar w:fldCharType="separate"/>
      </w:r>
      <w:r>
        <w:rPr>
          <w:rFonts w:hint="eastAsia" w:ascii="黑体" w:hAnsi="黑体" w:eastAsia="黑体" w:cs="Arial"/>
          <w:b/>
          <w:bCs/>
          <w:sz w:val="28"/>
          <w:szCs w:val="44"/>
        </w:rPr>
        <w:t>二、 课程性质</w:t>
      </w:r>
      <w:r>
        <w:rPr>
          <w:b/>
          <w:sz w:val="28"/>
          <w:szCs w:val="28"/>
        </w:rPr>
        <w:tab/>
      </w:r>
      <w:r>
        <w:rPr>
          <w:b/>
          <w:sz w:val="28"/>
          <w:szCs w:val="28"/>
        </w:rPr>
        <w:fldChar w:fldCharType="begin"/>
      </w:r>
      <w:r>
        <w:rPr>
          <w:b/>
          <w:sz w:val="28"/>
          <w:szCs w:val="28"/>
        </w:rPr>
        <w:instrText xml:space="preserve"> PAGEREF _Toc16250 \h </w:instrText>
      </w:r>
      <w:r>
        <w:rPr>
          <w:b/>
          <w:sz w:val="28"/>
          <w:szCs w:val="28"/>
        </w:rPr>
        <w:fldChar w:fldCharType="separate"/>
      </w:r>
      <w:r>
        <w:rPr>
          <w:b/>
          <w:sz w:val="28"/>
          <w:szCs w:val="28"/>
        </w:rPr>
        <w:t>3</w:t>
      </w:r>
      <w:r>
        <w:rPr>
          <w:b/>
          <w:sz w:val="28"/>
          <w:szCs w:val="28"/>
        </w:rPr>
        <w:fldChar w:fldCharType="end"/>
      </w:r>
      <w:r>
        <w:rPr>
          <w:rFonts w:ascii="Calibri" w:hAnsi="Calibri"/>
          <w:b/>
          <w:sz w:val="28"/>
          <w:szCs w:val="28"/>
        </w:rPr>
        <w:fldChar w:fldCharType="end"/>
      </w:r>
    </w:p>
    <w:p>
      <w:pPr>
        <w:pStyle w:val="13"/>
        <w:tabs>
          <w:tab w:val="right" w:leader="dot" w:pos="8901"/>
        </w:tabs>
        <w:spacing w:line="360" w:lineRule="auto"/>
        <w:rPr>
          <w:sz w:val="28"/>
          <w:szCs w:val="28"/>
        </w:rPr>
      </w:pPr>
      <w:r>
        <w:rPr>
          <w:rFonts w:ascii="Calibri" w:hAnsi="Calibri"/>
          <w:sz w:val="28"/>
          <w:szCs w:val="28"/>
        </w:rPr>
        <w:fldChar w:fldCharType="begin"/>
      </w:r>
      <w:r>
        <w:rPr>
          <w:rFonts w:ascii="Calibri" w:hAnsi="Calibri"/>
          <w:sz w:val="28"/>
          <w:szCs w:val="28"/>
        </w:rPr>
        <w:instrText xml:space="preserve"> HYPERLINK \l _Toc8110 </w:instrText>
      </w:r>
      <w:r>
        <w:rPr>
          <w:rFonts w:ascii="Calibri" w:hAnsi="Calibri"/>
          <w:sz w:val="28"/>
          <w:szCs w:val="28"/>
        </w:rPr>
        <w:fldChar w:fldCharType="separate"/>
      </w:r>
      <w:r>
        <w:rPr>
          <w:rFonts w:hint="eastAsia" w:ascii="仿宋" w:hAnsi="仿宋" w:eastAsia="仿宋" w:cs="Arial"/>
          <w:bCs/>
          <w:sz w:val="28"/>
          <w:szCs w:val="44"/>
          <w:lang w:eastAsia="zh-CN"/>
        </w:rPr>
        <w:t>（一）</w:t>
      </w:r>
      <w:r>
        <w:rPr>
          <w:rFonts w:hint="eastAsia" w:ascii="仿宋" w:hAnsi="仿宋" w:eastAsia="仿宋" w:cs="Arial"/>
          <w:bCs/>
          <w:sz w:val="28"/>
          <w:szCs w:val="44"/>
        </w:rPr>
        <w:t> 课程性质</w:t>
      </w:r>
      <w:r>
        <w:rPr>
          <w:sz w:val="28"/>
          <w:szCs w:val="28"/>
        </w:rPr>
        <w:tab/>
      </w:r>
      <w:r>
        <w:rPr>
          <w:sz w:val="28"/>
          <w:szCs w:val="28"/>
        </w:rPr>
        <w:fldChar w:fldCharType="begin"/>
      </w:r>
      <w:r>
        <w:rPr>
          <w:sz w:val="28"/>
          <w:szCs w:val="28"/>
        </w:rPr>
        <w:instrText xml:space="preserve"> PAGEREF _Toc8110 \h </w:instrText>
      </w:r>
      <w:r>
        <w:rPr>
          <w:sz w:val="28"/>
          <w:szCs w:val="28"/>
        </w:rPr>
        <w:fldChar w:fldCharType="separate"/>
      </w:r>
      <w:r>
        <w:rPr>
          <w:sz w:val="28"/>
          <w:szCs w:val="28"/>
        </w:rPr>
        <w:t>3</w:t>
      </w:r>
      <w:r>
        <w:rPr>
          <w:sz w:val="28"/>
          <w:szCs w:val="28"/>
        </w:rPr>
        <w:fldChar w:fldCharType="end"/>
      </w:r>
      <w:r>
        <w:rPr>
          <w:rFonts w:ascii="Calibri" w:hAnsi="Calibri"/>
          <w:sz w:val="28"/>
          <w:szCs w:val="28"/>
        </w:rPr>
        <w:fldChar w:fldCharType="end"/>
      </w:r>
    </w:p>
    <w:p>
      <w:pPr>
        <w:pStyle w:val="13"/>
        <w:tabs>
          <w:tab w:val="right" w:leader="dot" w:pos="8901"/>
        </w:tabs>
        <w:spacing w:line="360" w:lineRule="auto"/>
        <w:rPr>
          <w:sz w:val="28"/>
          <w:szCs w:val="28"/>
        </w:rPr>
      </w:pPr>
      <w:r>
        <w:rPr>
          <w:rFonts w:ascii="Calibri" w:hAnsi="Calibri"/>
          <w:sz w:val="28"/>
          <w:szCs w:val="28"/>
        </w:rPr>
        <w:fldChar w:fldCharType="begin"/>
      </w:r>
      <w:r>
        <w:rPr>
          <w:rFonts w:ascii="Calibri" w:hAnsi="Calibri"/>
          <w:sz w:val="28"/>
          <w:szCs w:val="28"/>
        </w:rPr>
        <w:instrText xml:space="preserve"> HYPERLINK \l _Toc5464 </w:instrText>
      </w:r>
      <w:r>
        <w:rPr>
          <w:rFonts w:ascii="Calibri" w:hAnsi="Calibri"/>
          <w:sz w:val="28"/>
          <w:szCs w:val="28"/>
        </w:rPr>
        <w:fldChar w:fldCharType="separate"/>
      </w:r>
      <w:r>
        <w:rPr>
          <w:rFonts w:hint="eastAsia" w:ascii="仿宋" w:hAnsi="仿宋" w:eastAsia="仿宋" w:cs="Arial"/>
          <w:bCs/>
          <w:sz w:val="28"/>
          <w:szCs w:val="44"/>
          <w:lang w:eastAsia="zh-CN"/>
        </w:rPr>
        <w:t>（二）课程地位</w:t>
      </w:r>
      <w:r>
        <w:rPr>
          <w:sz w:val="28"/>
          <w:szCs w:val="28"/>
        </w:rPr>
        <w:tab/>
      </w:r>
      <w:r>
        <w:rPr>
          <w:sz w:val="28"/>
          <w:szCs w:val="28"/>
        </w:rPr>
        <w:fldChar w:fldCharType="begin"/>
      </w:r>
      <w:r>
        <w:rPr>
          <w:sz w:val="28"/>
          <w:szCs w:val="28"/>
        </w:rPr>
        <w:instrText xml:space="preserve"> PAGEREF _Toc5464 \h </w:instrText>
      </w:r>
      <w:r>
        <w:rPr>
          <w:sz w:val="28"/>
          <w:szCs w:val="28"/>
        </w:rPr>
        <w:fldChar w:fldCharType="separate"/>
      </w:r>
      <w:r>
        <w:rPr>
          <w:sz w:val="28"/>
          <w:szCs w:val="28"/>
        </w:rPr>
        <w:t>3</w:t>
      </w:r>
      <w:r>
        <w:rPr>
          <w:sz w:val="28"/>
          <w:szCs w:val="28"/>
        </w:rPr>
        <w:fldChar w:fldCharType="end"/>
      </w:r>
      <w:r>
        <w:rPr>
          <w:rFonts w:ascii="Calibri" w:hAnsi="Calibri"/>
          <w:sz w:val="28"/>
          <w:szCs w:val="28"/>
        </w:rPr>
        <w:fldChar w:fldCharType="end"/>
      </w:r>
    </w:p>
    <w:p>
      <w:pPr>
        <w:pStyle w:val="13"/>
        <w:tabs>
          <w:tab w:val="right" w:leader="dot" w:pos="8901"/>
        </w:tabs>
        <w:spacing w:line="360" w:lineRule="auto"/>
        <w:rPr>
          <w:sz w:val="28"/>
          <w:szCs w:val="28"/>
        </w:rPr>
      </w:pPr>
      <w:r>
        <w:rPr>
          <w:rFonts w:ascii="Calibri" w:hAnsi="Calibri"/>
          <w:sz w:val="28"/>
          <w:szCs w:val="28"/>
        </w:rPr>
        <w:fldChar w:fldCharType="begin"/>
      </w:r>
      <w:r>
        <w:rPr>
          <w:rFonts w:ascii="Calibri" w:hAnsi="Calibri"/>
          <w:sz w:val="28"/>
          <w:szCs w:val="28"/>
        </w:rPr>
        <w:instrText xml:space="preserve"> HYPERLINK \l _Toc23804 </w:instrText>
      </w:r>
      <w:r>
        <w:rPr>
          <w:rFonts w:ascii="Calibri" w:hAnsi="Calibri"/>
          <w:sz w:val="28"/>
          <w:szCs w:val="28"/>
        </w:rPr>
        <w:fldChar w:fldCharType="separate"/>
      </w:r>
      <w:r>
        <w:rPr>
          <w:rFonts w:hint="eastAsia" w:ascii="仿宋" w:hAnsi="仿宋" w:eastAsia="仿宋" w:cs="Arial"/>
          <w:bCs/>
          <w:sz w:val="28"/>
          <w:szCs w:val="44"/>
          <w:lang w:eastAsia="zh-CN"/>
        </w:rPr>
        <w:t>（三）与相关课程的联系与分工</w:t>
      </w:r>
      <w:r>
        <w:rPr>
          <w:sz w:val="28"/>
          <w:szCs w:val="28"/>
        </w:rPr>
        <w:tab/>
      </w:r>
      <w:r>
        <w:rPr>
          <w:sz w:val="28"/>
          <w:szCs w:val="28"/>
        </w:rPr>
        <w:fldChar w:fldCharType="begin"/>
      </w:r>
      <w:r>
        <w:rPr>
          <w:sz w:val="28"/>
          <w:szCs w:val="28"/>
        </w:rPr>
        <w:instrText xml:space="preserve"> PAGEREF _Toc23804 \h </w:instrText>
      </w:r>
      <w:r>
        <w:rPr>
          <w:sz w:val="28"/>
          <w:szCs w:val="28"/>
        </w:rPr>
        <w:fldChar w:fldCharType="separate"/>
      </w:r>
      <w:r>
        <w:rPr>
          <w:sz w:val="28"/>
          <w:szCs w:val="28"/>
        </w:rPr>
        <w:t>4</w:t>
      </w:r>
      <w:r>
        <w:rPr>
          <w:sz w:val="28"/>
          <w:szCs w:val="28"/>
        </w:rPr>
        <w:fldChar w:fldCharType="end"/>
      </w:r>
      <w:r>
        <w:rPr>
          <w:rFonts w:ascii="Calibri" w:hAnsi="Calibri"/>
          <w:sz w:val="28"/>
          <w:szCs w:val="28"/>
        </w:rPr>
        <w:fldChar w:fldCharType="end"/>
      </w:r>
    </w:p>
    <w:p>
      <w:pPr>
        <w:pStyle w:val="12"/>
        <w:tabs>
          <w:tab w:val="right" w:leader="dot" w:pos="8901"/>
        </w:tabs>
        <w:spacing w:line="360" w:lineRule="auto"/>
        <w:rPr>
          <w:b/>
          <w:sz w:val="28"/>
          <w:szCs w:val="28"/>
        </w:rPr>
      </w:pPr>
      <w:r>
        <w:rPr>
          <w:rFonts w:ascii="Calibri" w:hAnsi="Calibri"/>
          <w:b/>
          <w:sz w:val="28"/>
          <w:szCs w:val="28"/>
        </w:rPr>
        <w:fldChar w:fldCharType="begin"/>
      </w:r>
      <w:r>
        <w:rPr>
          <w:rFonts w:ascii="Calibri" w:hAnsi="Calibri"/>
          <w:b/>
          <w:sz w:val="28"/>
          <w:szCs w:val="28"/>
        </w:rPr>
        <w:instrText xml:space="preserve"> HYPERLINK \l _Toc2518 </w:instrText>
      </w:r>
      <w:r>
        <w:rPr>
          <w:rFonts w:ascii="Calibri" w:hAnsi="Calibri"/>
          <w:b/>
          <w:sz w:val="28"/>
          <w:szCs w:val="28"/>
        </w:rPr>
        <w:fldChar w:fldCharType="separate"/>
      </w:r>
      <w:r>
        <w:rPr>
          <w:rFonts w:hint="eastAsia" w:ascii="黑体" w:hAnsi="黑体" w:eastAsia="黑体" w:cs="Arial"/>
          <w:b/>
          <w:bCs/>
          <w:sz w:val="28"/>
          <w:szCs w:val="44"/>
        </w:rPr>
        <w:t>三、 课程设计</w:t>
      </w:r>
      <w:r>
        <w:rPr>
          <w:b/>
          <w:sz w:val="28"/>
          <w:szCs w:val="28"/>
        </w:rPr>
        <w:tab/>
      </w:r>
      <w:r>
        <w:rPr>
          <w:b/>
          <w:sz w:val="28"/>
          <w:szCs w:val="28"/>
        </w:rPr>
        <w:fldChar w:fldCharType="begin"/>
      </w:r>
      <w:r>
        <w:rPr>
          <w:b/>
          <w:sz w:val="28"/>
          <w:szCs w:val="28"/>
        </w:rPr>
        <w:instrText xml:space="preserve"> PAGEREF _Toc2518 \h </w:instrText>
      </w:r>
      <w:r>
        <w:rPr>
          <w:b/>
          <w:sz w:val="28"/>
          <w:szCs w:val="28"/>
        </w:rPr>
        <w:fldChar w:fldCharType="separate"/>
      </w:r>
      <w:r>
        <w:rPr>
          <w:b/>
          <w:sz w:val="28"/>
          <w:szCs w:val="28"/>
        </w:rPr>
        <w:t>4</w:t>
      </w:r>
      <w:r>
        <w:rPr>
          <w:b/>
          <w:sz w:val="28"/>
          <w:szCs w:val="28"/>
        </w:rPr>
        <w:fldChar w:fldCharType="end"/>
      </w:r>
      <w:r>
        <w:rPr>
          <w:rFonts w:ascii="Calibri" w:hAnsi="Calibri"/>
          <w:b/>
          <w:sz w:val="28"/>
          <w:szCs w:val="28"/>
        </w:rPr>
        <w:fldChar w:fldCharType="end"/>
      </w:r>
    </w:p>
    <w:p>
      <w:pPr>
        <w:pStyle w:val="12"/>
        <w:tabs>
          <w:tab w:val="right" w:leader="dot" w:pos="8901"/>
        </w:tabs>
        <w:spacing w:line="360" w:lineRule="auto"/>
        <w:rPr>
          <w:b/>
          <w:sz w:val="28"/>
          <w:szCs w:val="28"/>
        </w:rPr>
      </w:pPr>
      <w:r>
        <w:rPr>
          <w:rFonts w:ascii="Calibri" w:hAnsi="Calibri"/>
          <w:b/>
          <w:sz w:val="28"/>
          <w:szCs w:val="28"/>
        </w:rPr>
        <w:fldChar w:fldCharType="begin"/>
      </w:r>
      <w:r>
        <w:rPr>
          <w:rFonts w:ascii="Calibri" w:hAnsi="Calibri"/>
          <w:b/>
          <w:sz w:val="28"/>
          <w:szCs w:val="28"/>
        </w:rPr>
        <w:instrText xml:space="preserve"> HYPERLINK \l _Toc16106 </w:instrText>
      </w:r>
      <w:r>
        <w:rPr>
          <w:rFonts w:ascii="Calibri" w:hAnsi="Calibri"/>
          <w:b/>
          <w:sz w:val="28"/>
          <w:szCs w:val="28"/>
        </w:rPr>
        <w:fldChar w:fldCharType="separate"/>
      </w:r>
      <w:r>
        <w:rPr>
          <w:rFonts w:hint="eastAsia" w:ascii="黑体" w:hAnsi="黑体" w:eastAsia="黑体" w:cs="Arial"/>
          <w:b/>
          <w:bCs/>
          <w:sz w:val="28"/>
          <w:szCs w:val="44"/>
        </w:rPr>
        <w:t>四、课程目标</w:t>
      </w:r>
      <w:r>
        <w:rPr>
          <w:b/>
          <w:sz w:val="28"/>
          <w:szCs w:val="28"/>
        </w:rPr>
        <w:tab/>
      </w:r>
      <w:r>
        <w:rPr>
          <w:b/>
          <w:sz w:val="28"/>
          <w:szCs w:val="28"/>
        </w:rPr>
        <w:fldChar w:fldCharType="begin"/>
      </w:r>
      <w:r>
        <w:rPr>
          <w:b/>
          <w:sz w:val="28"/>
          <w:szCs w:val="28"/>
        </w:rPr>
        <w:instrText xml:space="preserve"> PAGEREF _Toc16106 \h </w:instrText>
      </w:r>
      <w:r>
        <w:rPr>
          <w:b/>
          <w:sz w:val="28"/>
          <w:szCs w:val="28"/>
        </w:rPr>
        <w:fldChar w:fldCharType="separate"/>
      </w:r>
      <w:r>
        <w:rPr>
          <w:b/>
          <w:sz w:val="28"/>
          <w:szCs w:val="28"/>
        </w:rPr>
        <w:t>4</w:t>
      </w:r>
      <w:r>
        <w:rPr>
          <w:b/>
          <w:sz w:val="28"/>
          <w:szCs w:val="28"/>
        </w:rPr>
        <w:fldChar w:fldCharType="end"/>
      </w:r>
      <w:r>
        <w:rPr>
          <w:rFonts w:ascii="Calibri" w:hAnsi="Calibri"/>
          <w:b/>
          <w:sz w:val="28"/>
          <w:szCs w:val="28"/>
        </w:rPr>
        <w:fldChar w:fldCharType="end"/>
      </w:r>
    </w:p>
    <w:p>
      <w:pPr>
        <w:pStyle w:val="13"/>
        <w:tabs>
          <w:tab w:val="right" w:leader="dot" w:pos="8901"/>
        </w:tabs>
        <w:spacing w:line="360" w:lineRule="auto"/>
        <w:rPr>
          <w:sz w:val="28"/>
          <w:szCs w:val="28"/>
        </w:rPr>
      </w:pPr>
      <w:r>
        <w:rPr>
          <w:rFonts w:ascii="Calibri" w:hAnsi="Calibri"/>
          <w:sz w:val="28"/>
          <w:szCs w:val="28"/>
        </w:rPr>
        <w:fldChar w:fldCharType="begin"/>
      </w:r>
      <w:r>
        <w:rPr>
          <w:rFonts w:ascii="Calibri" w:hAnsi="Calibri"/>
          <w:sz w:val="28"/>
          <w:szCs w:val="28"/>
        </w:rPr>
        <w:instrText xml:space="preserve"> HYPERLINK \l _Toc22521 </w:instrText>
      </w:r>
      <w:r>
        <w:rPr>
          <w:rFonts w:ascii="Calibri" w:hAnsi="Calibri"/>
          <w:sz w:val="28"/>
          <w:szCs w:val="28"/>
        </w:rPr>
        <w:fldChar w:fldCharType="separate"/>
      </w:r>
      <w:r>
        <w:rPr>
          <w:rFonts w:hint="eastAsia" w:ascii="仿宋" w:hAnsi="仿宋" w:eastAsia="仿宋" w:cs="Arial"/>
          <w:bCs/>
          <w:sz w:val="28"/>
          <w:szCs w:val="44"/>
        </w:rPr>
        <w:t>（一）总体目标</w:t>
      </w:r>
      <w:r>
        <w:rPr>
          <w:sz w:val="28"/>
          <w:szCs w:val="28"/>
        </w:rPr>
        <w:tab/>
      </w:r>
      <w:r>
        <w:rPr>
          <w:sz w:val="28"/>
          <w:szCs w:val="28"/>
        </w:rPr>
        <w:fldChar w:fldCharType="begin"/>
      </w:r>
      <w:r>
        <w:rPr>
          <w:sz w:val="28"/>
          <w:szCs w:val="28"/>
        </w:rPr>
        <w:instrText xml:space="preserve"> PAGEREF _Toc22521 \h </w:instrText>
      </w:r>
      <w:r>
        <w:rPr>
          <w:sz w:val="28"/>
          <w:szCs w:val="28"/>
        </w:rPr>
        <w:fldChar w:fldCharType="separate"/>
      </w:r>
      <w:r>
        <w:rPr>
          <w:sz w:val="28"/>
          <w:szCs w:val="28"/>
        </w:rPr>
        <w:t>4</w:t>
      </w:r>
      <w:r>
        <w:rPr>
          <w:sz w:val="28"/>
          <w:szCs w:val="28"/>
        </w:rPr>
        <w:fldChar w:fldCharType="end"/>
      </w:r>
      <w:r>
        <w:rPr>
          <w:rFonts w:ascii="Calibri" w:hAnsi="Calibri"/>
          <w:sz w:val="28"/>
          <w:szCs w:val="28"/>
        </w:rPr>
        <w:fldChar w:fldCharType="end"/>
      </w:r>
    </w:p>
    <w:p>
      <w:pPr>
        <w:pStyle w:val="13"/>
        <w:tabs>
          <w:tab w:val="right" w:leader="dot" w:pos="8901"/>
        </w:tabs>
        <w:spacing w:line="360" w:lineRule="auto"/>
        <w:rPr>
          <w:sz w:val="28"/>
          <w:szCs w:val="28"/>
        </w:rPr>
      </w:pPr>
      <w:r>
        <w:rPr>
          <w:rFonts w:ascii="Calibri" w:hAnsi="Calibri"/>
          <w:sz w:val="28"/>
          <w:szCs w:val="28"/>
        </w:rPr>
        <w:fldChar w:fldCharType="begin"/>
      </w:r>
      <w:r>
        <w:rPr>
          <w:rFonts w:ascii="Calibri" w:hAnsi="Calibri"/>
          <w:sz w:val="28"/>
          <w:szCs w:val="28"/>
        </w:rPr>
        <w:instrText xml:space="preserve"> HYPERLINK \l _Toc25173 </w:instrText>
      </w:r>
      <w:r>
        <w:rPr>
          <w:rFonts w:ascii="Calibri" w:hAnsi="Calibri"/>
          <w:sz w:val="28"/>
          <w:szCs w:val="28"/>
        </w:rPr>
        <w:fldChar w:fldCharType="separate"/>
      </w:r>
      <w:r>
        <w:rPr>
          <w:rFonts w:hint="eastAsia" w:ascii="仿宋" w:hAnsi="仿宋" w:eastAsia="仿宋" w:cs="Arial"/>
          <w:bCs/>
          <w:sz w:val="28"/>
          <w:szCs w:val="44"/>
        </w:rPr>
        <w:t>（二）具体目标</w:t>
      </w:r>
      <w:r>
        <w:rPr>
          <w:sz w:val="28"/>
          <w:szCs w:val="28"/>
        </w:rPr>
        <w:tab/>
      </w:r>
      <w:r>
        <w:rPr>
          <w:sz w:val="28"/>
          <w:szCs w:val="28"/>
        </w:rPr>
        <w:fldChar w:fldCharType="begin"/>
      </w:r>
      <w:r>
        <w:rPr>
          <w:sz w:val="28"/>
          <w:szCs w:val="28"/>
        </w:rPr>
        <w:instrText xml:space="preserve"> PAGEREF _Toc25173 \h </w:instrText>
      </w:r>
      <w:r>
        <w:rPr>
          <w:sz w:val="28"/>
          <w:szCs w:val="28"/>
        </w:rPr>
        <w:fldChar w:fldCharType="separate"/>
      </w:r>
      <w:r>
        <w:rPr>
          <w:sz w:val="28"/>
          <w:szCs w:val="28"/>
        </w:rPr>
        <w:t>4</w:t>
      </w:r>
      <w:r>
        <w:rPr>
          <w:sz w:val="28"/>
          <w:szCs w:val="28"/>
        </w:rPr>
        <w:fldChar w:fldCharType="end"/>
      </w:r>
      <w:r>
        <w:rPr>
          <w:rFonts w:ascii="Calibri" w:hAnsi="Calibri"/>
          <w:sz w:val="28"/>
          <w:szCs w:val="28"/>
        </w:rPr>
        <w:fldChar w:fldCharType="end"/>
      </w:r>
    </w:p>
    <w:p>
      <w:pPr>
        <w:pStyle w:val="12"/>
        <w:tabs>
          <w:tab w:val="right" w:leader="dot" w:pos="8901"/>
        </w:tabs>
        <w:spacing w:line="360" w:lineRule="auto"/>
        <w:rPr>
          <w:b/>
          <w:sz w:val="28"/>
          <w:szCs w:val="28"/>
        </w:rPr>
      </w:pPr>
      <w:r>
        <w:rPr>
          <w:rFonts w:ascii="Calibri" w:hAnsi="Calibri"/>
          <w:b/>
          <w:sz w:val="28"/>
          <w:szCs w:val="28"/>
        </w:rPr>
        <w:fldChar w:fldCharType="begin"/>
      </w:r>
      <w:r>
        <w:rPr>
          <w:rFonts w:ascii="Calibri" w:hAnsi="Calibri"/>
          <w:b/>
          <w:sz w:val="28"/>
          <w:szCs w:val="28"/>
        </w:rPr>
        <w:instrText xml:space="preserve"> HYPERLINK \l _Toc1877 </w:instrText>
      </w:r>
      <w:r>
        <w:rPr>
          <w:rFonts w:ascii="Calibri" w:hAnsi="Calibri"/>
          <w:b/>
          <w:sz w:val="28"/>
          <w:szCs w:val="28"/>
        </w:rPr>
        <w:fldChar w:fldCharType="separate"/>
      </w:r>
      <w:r>
        <w:rPr>
          <w:rFonts w:hint="eastAsia" w:ascii="黑体" w:hAnsi="黑体" w:eastAsia="黑体" w:cs="Arial"/>
          <w:b/>
          <w:bCs/>
          <w:sz w:val="28"/>
          <w:szCs w:val="44"/>
        </w:rPr>
        <w:t>五、课程主要内容和学时分配</w:t>
      </w:r>
      <w:r>
        <w:rPr>
          <w:b/>
          <w:sz w:val="28"/>
          <w:szCs w:val="28"/>
        </w:rPr>
        <w:tab/>
      </w:r>
      <w:r>
        <w:rPr>
          <w:b/>
          <w:sz w:val="28"/>
          <w:szCs w:val="28"/>
        </w:rPr>
        <w:fldChar w:fldCharType="begin"/>
      </w:r>
      <w:r>
        <w:rPr>
          <w:b/>
          <w:sz w:val="28"/>
          <w:szCs w:val="28"/>
        </w:rPr>
        <w:instrText xml:space="preserve"> PAGEREF _Toc1877 \h </w:instrText>
      </w:r>
      <w:r>
        <w:rPr>
          <w:b/>
          <w:sz w:val="28"/>
          <w:szCs w:val="28"/>
        </w:rPr>
        <w:fldChar w:fldCharType="separate"/>
      </w:r>
      <w:r>
        <w:rPr>
          <w:b/>
          <w:sz w:val="28"/>
          <w:szCs w:val="28"/>
        </w:rPr>
        <w:t>5</w:t>
      </w:r>
      <w:r>
        <w:rPr>
          <w:b/>
          <w:sz w:val="28"/>
          <w:szCs w:val="28"/>
        </w:rPr>
        <w:fldChar w:fldCharType="end"/>
      </w:r>
      <w:r>
        <w:rPr>
          <w:rFonts w:ascii="Calibri" w:hAnsi="Calibri"/>
          <w:b/>
          <w:sz w:val="28"/>
          <w:szCs w:val="28"/>
        </w:rPr>
        <w:fldChar w:fldCharType="end"/>
      </w:r>
    </w:p>
    <w:p>
      <w:pPr>
        <w:pStyle w:val="13"/>
        <w:tabs>
          <w:tab w:val="right" w:leader="dot" w:pos="8901"/>
        </w:tabs>
        <w:spacing w:line="360" w:lineRule="auto"/>
        <w:rPr>
          <w:sz w:val="28"/>
          <w:szCs w:val="28"/>
        </w:rPr>
      </w:pPr>
      <w:r>
        <w:rPr>
          <w:rFonts w:ascii="Calibri" w:hAnsi="Calibri"/>
          <w:sz w:val="28"/>
          <w:szCs w:val="28"/>
        </w:rPr>
        <w:fldChar w:fldCharType="begin"/>
      </w:r>
      <w:r>
        <w:rPr>
          <w:rFonts w:ascii="Calibri" w:hAnsi="Calibri"/>
          <w:sz w:val="28"/>
          <w:szCs w:val="28"/>
        </w:rPr>
        <w:instrText xml:space="preserve"> HYPERLINK \l _Toc15883 </w:instrText>
      </w:r>
      <w:r>
        <w:rPr>
          <w:rFonts w:ascii="Calibri" w:hAnsi="Calibri"/>
          <w:sz w:val="28"/>
          <w:szCs w:val="28"/>
        </w:rPr>
        <w:fldChar w:fldCharType="separate"/>
      </w:r>
      <w:r>
        <w:rPr>
          <w:rFonts w:hint="eastAsia" w:ascii="仿宋_GB2312" w:hAnsi="仿宋_GB2312" w:eastAsia="仿宋_GB2312" w:cs="仿宋_GB2312"/>
          <w:bCs/>
          <w:i w:val="0"/>
          <w:iCs w:val="0"/>
          <w:caps w:val="0"/>
          <w:spacing w:val="0"/>
          <w:sz w:val="28"/>
          <w:szCs w:val="44"/>
          <w:shd w:val="clear" w:color="auto" w:fill="FAFAFA"/>
        </w:rPr>
        <w:t>表</w:t>
      </w:r>
      <w:r>
        <w:rPr>
          <w:rFonts w:hint="eastAsia" w:ascii="仿宋_GB2312" w:hAnsi="仿宋_GB2312" w:eastAsia="仿宋_GB2312" w:cs="仿宋_GB2312"/>
          <w:bCs/>
          <w:i w:val="0"/>
          <w:iCs w:val="0"/>
          <w:caps w:val="0"/>
          <w:spacing w:val="0"/>
          <w:sz w:val="28"/>
          <w:szCs w:val="44"/>
          <w:shd w:val="clear" w:color="auto" w:fill="FAFAFA"/>
          <w:lang w:eastAsia="zh-CN"/>
        </w:rPr>
        <w:t>一</w:t>
      </w:r>
      <w:r>
        <w:rPr>
          <w:rFonts w:hint="eastAsia" w:ascii="仿宋_GB2312" w:hAnsi="仿宋_GB2312" w:eastAsia="仿宋_GB2312" w:cs="仿宋_GB2312"/>
          <w:bCs/>
          <w:i w:val="0"/>
          <w:iCs w:val="0"/>
          <w:caps w:val="0"/>
          <w:spacing w:val="0"/>
          <w:sz w:val="28"/>
          <w:szCs w:val="44"/>
          <w:shd w:val="clear" w:color="auto" w:fill="FAFAFA"/>
          <w:lang w:val="en-US" w:eastAsia="zh-CN"/>
        </w:rPr>
        <w:t xml:space="preserve"> </w:t>
      </w:r>
      <w:r>
        <w:rPr>
          <w:rFonts w:hint="eastAsia" w:ascii="仿宋_GB2312" w:hAnsi="仿宋_GB2312" w:eastAsia="仿宋_GB2312" w:cs="仿宋_GB2312"/>
          <w:bCs/>
          <w:i w:val="0"/>
          <w:iCs w:val="0"/>
          <w:caps w:val="0"/>
          <w:spacing w:val="0"/>
          <w:sz w:val="28"/>
          <w:szCs w:val="44"/>
          <w:shd w:val="clear" w:color="auto" w:fill="FAFAFA"/>
        </w:rPr>
        <w:t>课程内容与学时分配表</w:t>
      </w:r>
      <w:r>
        <w:rPr>
          <w:sz w:val="28"/>
          <w:szCs w:val="28"/>
        </w:rPr>
        <w:tab/>
      </w:r>
      <w:r>
        <w:rPr>
          <w:sz w:val="28"/>
          <w:szCs w:val="28"/>
        </w:rPr>
        <w:fldChar w:fldCharType="begin"/>
      </w:r>
      <w:r>
        <w:rPr>
          <w:sz w:val="28"/>
          <w:szCs w:val="28"/>
        </w:rPr>
        <w:instrText xml:space="preserve"> PAGEREF _Toc15883 \h </w:instrText>
      </w:r>
      <w:r>
        <w:rPr>
          <w:sz w:val="28"/>
          <w:szCs w:val="28"/>
        </w:rPr>
        <w:fldChar w:fldCharType="separate"/>
      </w:r>
      <w:r>
        <w:rPr>
          <w:sz w:val="28"/>
          <w:szCs w:val="28"/>
        </w:rPr>
        <w:t>5</w:t>
      </w:r>
      <w:r>
        <w:rPr>
          <w:sz w:val="28"/>
          <w:szCs w:val="28"/>
        </w:rPr>
        <w:fldChar w:fldCharType="end"/>
      </w:r>
      <w:r>
        <w:rPr>
          <w:rFonts w:ascii="Calibri" w:hAnsi="Calibri"/>
          <w:sz w:val="28"/>
          <w:szCs w:val="28"/>
        </w:rPr>
        <w:fldChar w:fldCharType="end"/>
      </w:r>
    </w:p>
    <w:p>
      <w:pPr>
        <w:pStyle w:val="13"/>
        <w:tabs>
          <w:tab w:val="right" w:leader="dot" w:pos="8901"/>
        </w:tabs>
        <w:spacing w:line="360" w:lineRule="auto"/>
        <w:rPr>
          <w:sz w:val="28"/>
          <w:szCs w:val="28"/>
        </w:rPr>
      </w:pPr>
      <w:r>
        <w:rPr>
          <w:rFonts w:ascii="Calibri" w:hAnsi="Calibri"/>
          <w:sz w:val="28"/>
          <w:szCs w:val="28"/>
        </w:rPr>
        <w:fldChar w:fldCharType="begin"/>
      </w:r>
      <w:r>
        <w:rPr>
          <w:rFonts w:ascii="Calibri" w:hAnsi="Calibri"/>
          <w:sz w:val="28"/>
          <w:szCs w:val="28"/>
        </w:rPr>
        <w:instrText xml:space="preserve"> HYPERLINK \l _Toc4857 </w:instrText>
      </w:r>
      <w:r>
        <w:rPr>
          <w:rFonts w:ascii="Calibri" w:hAnsi="Calibri"/>
          <w:sz w:val="28"/>
          <w:szCs w:val="28"/>
        </w:rPr>
        <w:fldChar w:fldCharType="separate"/>
      </w:r>
      <w:r>
        <w:rPr>
          <w:rFonts w:hint="eastAsia" w:ascii="仿宋_GB2312" w:hAnsi="仿宋_GB2312" w:eastAsia="仿宋_GB2312" w:cs="仿宋_GB2312"/>
          <w:bCs/>
          <w:i w:val="0"/>
          <w:iCs w:val="0"/>
          <w:caps w:val="0"/>
          <w:spacing w:val="0"/>
          <w:sz w:val="28"/>
          <w:szCs w:val="44"/>
          <w:shd w:val="clear" w:color="auto" w:fill="FAFAFA"/>
          <w:lang w:eastAsia="zh-CN"/>
        </w:rPr>
        <w:t>表二</w:t>
      </w:r>
      <w:r>
        <w:rPr>
          <w:rFonts w:hint="eastAsia" w:ascii="仿宋_GB2312" w:hAnsi="仿宋_GB2312" w:eastAsia="仿宋_GB2312" w:cs="仿宋_GB2312"/>
          <w:bCs/>
          <w:i w:val="0"/>
          <w:iCs w:val="0"/>
          <w:caps w:val="0"/>
          <w:spacing w:val="0"/>
          <w:sz w:val="28"/>
          <w:szCs w:val="44"/>
          <w:shd w:val="clear" w:color="auto" w:fill="FAFAFA"/>
          <w:lang w:val="en-US" w:eastAsia="zh-CN"/>
        </w:rPr>
        <w:t xml:space="preserve"> </w:t>
      </w:r>
      <w:r>
        <w:rPr>
          <w:rFonts w:hint="eastAsia" w:ascii="仿宋_GB2312" w:hAnsi="仿宋_GB2312" w:eastAsia="仿宋_GB2312" w:cs="仿宋_GB2312"/>
          <w:bCs/>
          <w:i w:val="0"/>
          <w:iCs w:val="0"/>
          <w:caps w:val="0"/>
          <w:spacing w:val="0"/>
          <w:sz w:val="28"/>
          <w:szCs w:val="44"/>
          <w:shd w:val="clear" w:color="auto" w:fill="FAFAFA"/>
        </w:rPr>
        <w:t>实践教学设计</w:t>
      </w:r>
      <w:r>
        <w:rPr>
          <w:sz w:val="28"/>
          <w:szCs w:val="28"/>
        </w:rPr>
        <w:tab/>
      </w:r>
      <w:r>
        <w:rPr>
          <w:sz w:val="28"/>
          <w:szCs w:val="28"/>
        </w:rPr>
        <w:fldChar w:fldCharType="begin"/>
      </w:r>
      <w:r>
        <w:rPr>
          <w:sz w:val="28"/>
          <w:szCs w:val="28"/>
        </w:rPr>
        <w:instrText xml:space="preserve"> PAGEREF _Toc4857 \h </w:instrText>
      </w:r>
      <w:r>
        <w:rPr>
          <w:sz w:val="28"/>
          <w:szCs w:val="28"/>
        </w:rPr>
        <w:fldChar w:fldCharType="separate"/>
      </w:r>
      <w:r>
        <w:rPr>
          <w:sz w:val="28"/>
          <w:szCs w:val="28"/>
        </w:rPr>
        <w:t>7</w:t>
      </w:r>
      <w:r>
        <w:rPr>
          <w:sz w:val="28"/>
          <w:szCs w:val="28"/>
        </w:rPr>
        <w:fldChar w:fldCharType="end"/>
      </w:r>
      <w:r>
        <w:rPr>
          <w:rFonts w:ascii="Calibri" w:hAnsi="Calibri"/>
          <w:sz w:val="28"/>
          <w:szCs w:val="28"/>
        </w:rPr>
        <w:fldChar w:fldCharType="end"/>
      </w:r>
    </w:p>
    <w:p>
      <w:pPr>
        <w:pStyle w:val="12"/>
        <w:tabs>
          <w:tab w:val="right" w:leader="dot" w:pos="8901"/>
        </w:tabs>
        <w:spacing w:line="360" w:lineRule="auto"/>
        <w:rPr>
          <w:b/>
          <w:sz w:val="28"/>
          <w:szCs w:val="28"/>
        </w:rPr>
      </w:pPr>
      <w:r>
        <w:rPr>
          <w:rFonts w:ascii="Calibri" w:hAnsi="Calibri"/>
          <w:b/>
          <w:sz w:val="28"/>
          <w:szCs w:val="28"/>
        </w:rPr>
        <w:fldChar w:fldCharType="begin"/>
      </w:r>
      <w:r>
        <w:rPr>
          <w:rFonts w:ascii="Calibri" w:hAnsi="Calibri"/>
          <w:b/>
          <w:sz w:val="28"/>
          <w:szCs w:val="28"/>
        </w:rPr>
        <w:instrText xml:space="preserve"> HYPERLINK \l _Toc10858 </w:instrText>
      </w:r>
      <w:r>
        <w:rPr>
          <w:rFonts w:ascii="Calibri" w:hAnsi="Calibri"/>
          <w:b/>
          <w:sz w:val="28"/>
          <w:szCs w:val="28"/>
        </w:rPr>
        <w:fldChar w:fldCharType="separate"/>
      </w:r>
      <w:r>
        <w:rPr>
          <w:rFonts w:hint="eastAsia" w:ascii="黑体" w:hAnsi="黑体" w:eastAsia="黑体" w:cs="Arial"/>
          <w:b/>
          <w:bCs/>
          <w:sz w:val="28"/>
          <w:szCs w:val="44"/>
        </w:rPr>
        <w:t>六、课程实施建议</w:t>
      </w:r>
      <w:r>
        <w:rPr>
          <w:b/>
          <w:sz w:val="28"/>
          <w:szCs w:val="28"/>
        </w:rPr>
        <w:tab/>
      </w:r>
      <w:r>
        <w:rPr>
          <w:b/>
          <w:sz w:val="28"/>
          <w:szCs w:val="28"/>
        </w:rPr>
        <w:fldChar w:fldCharType="begin"/>
      </w:r>
      <w:r>
        <w:rPr>
          <w:b/>
          <w:sz w:val="28"/>
          <w:szCs w:val="28"/>
        </w:rPr>
        <w:instrText xml:space="preserve"> PAGEREF _Toc10858 \h </w:instrText>
      </w:r>
      <w:r>
        <w:rPr>
          <w:b/>
          <w:sz w:val="28"/>
          <w:szCs w:val="28"/>
        </w:rPr>
        <w:fldChar w:fldCharType="separate"/>
      </w:r>
      <w:r>
        <w:rPr>
          <w:b/>
          <w:sz w:val="28"/>
          <w:szCs w:val="28"/>
        </w:rPr>
        <w:t>8</w:t>
      </w:r>
      <w:r>
        <w:rPr>
          <w:b/>
          <w:sz w:val="28"/>
          <w:szCs w:val="28"/>
        </w:rPr>
        <w:fldChar w:fldCharType="end"/>
      </w:r>
      <w:r>
        <w:rPr>
          <w:rFonts w:ascii="Calibri" w:hAnsi="Calibri"/>
          <w:b/>
          <w:sz w:val="28"/>
          <w:szCs w:val="28"/>
        </w:rPr>
        <w:fldChar w:fldCharType="end"/>
      </w:r>
    </w:p>
    <w:p>
      <w:pPr>
        <w:pStyle w:val="13"/>
        <w:tabs>
          <w:tab w:val="right" w:leader="dot" w:pos="8901"/>
        </w:tabs>
        <w:spacing w:line="360" w:lineRule="auto"/>
        <w:rPr>
          <w:sz w:val="28"/>
          <w:szCs w:val="28"/>
        </w:rPr>
      </w:pPr>
      <w:r>
        <w:rPr>
          <w:rFonts w:ascii="Calibri" w:hAnsi="Calibri"/>
          <w:sz w:val="28"/>
          <w:szCs w:val="28"/>
        </w:rPr>
        <w:fldChar w:fldCharType="begin"/>
      </w:r>
      <w:r>
        <w:rPr>
          <w:rFonts w:ascii="Calibri" w:hAnsi="Calibri"/>
          <w:sz w:val="28"/>
          <w:szCs w:val="28"/>
        </w:rPr>
        <w:instrText xml:space="preserve"> HYPERLINK \l _Toc23830 </w:instrText>
      </w:r>
      <w:r>
        <w:rPr>
          <w:rFonts w:ascii="Calibri" w:hAnsi="Calibri"/>
          <w:sz w:val="28"/>
          <w:szCs w:val="28"/>
        </w:rPr>
        <w:fldChar w:fldCharType="separate"/>
      </w:r>
      <w:r>
        <w:rPr>
          <w:rFonts w:hint="eastAsia" w:ascii="楷体_GB2312" w:hAnsi="楷体_GB2312" w:eastAsia="楷体_GB2312" w:cs="楷体_GB2312"/>
          <w:bCs/>
          <w:i w:val="0"/>
          <w:iCs w:val="0"/>
          <w:caps w:val="0"/>
          <w:spacing w:val="0"/>
          <w:sz w:val="28"/>
          <w:szCs w:val="44"/>
          <w:shd w:val="clear" w:color="auto" w:fill="FAFAFA"/>
        </w:rPr>
        <w:t>（一）教学方法</w:t>
      </w:r>
      <w:r>
        <w:rPr>
          <w:sz w:val="28"/>
          <w:szCs w:val="28"/>
        </w:rPr>
        <w:tab/>
      </w:r>
      <w:r>
        <w:rPr>
          <w:sz w:val="28"/>
          <w:szCs w:val="28"/>
        </w:rPr>
        <w:fldChar w:fldCharType="begin"/>
      </w:r>
      <w:r>
        <w:rPr>
          <w:sz w:val="28"/>
          <w:szCs w:val="28"/>
        </w:rPr>
        <w:instrText xml:space="preserve"> PAGEREF _Toc23830 \h </w:instrText>
      </w:r>
      <w:r>
        <w:rPr>
          <w:sz w:val="28"/>
          <w:szCs w:val="28"/>
        </w:rPr>
        <w:fldChar w:fldCharType="separate"/>
      </w:r>
      <w:r>
        <w:rPr>
          <w:sz w:val="28"/>
          <w:szCs w:val="28"/>
        </w:rPr>
        <w:t>8</w:t>
      </w:r>
      <w:r>
        <w:rPr>
          <w:sz w:val="28"/>
          <w:szCs w:val="28"/>
        </w:rPr>
        <w:fldChar w:fldCharType="end"/>
      </w:r>
      <w:r>
        <w:rPr>
          <w:rFonts w:ascii="Calibri" w:hAnsi="Calibri"/>
          <w:sz w:val="28"/>
          <w:szCs w:val="28"/>
        </w:rPr>
        <w:fldChar w:fldCharType="end"/>
      </w:r>
    </w:p>
    <w:p>
      <w:pPr>
        <w:pStyle w:val="13"/>
        <w:tabs>
          <w:tab w:val="right" w:leader="dot" w:pos="8901"/>
        </w:tabs>
        <w:spacing w:line="360" w:lineRule="auto"/>
        <w:rPr>
          <w:sz w:val="28"/>
          <w:szCs w:val="28"/>
        </w:rPr>
      </w:pPr>
      <w:r>
        <w:rPr>
          <w:rFonts w:ascii="Calibri" w:hAnsi="Calibri"/>
          <w:sz w:val="28"/>
          <w:szCs w:val="28"/>
        </w:rPr>
        <w:fldChar w:fldCharType="begin"/>
      </w:r>
      <w:r>
        <w:rPr>
          <w:rFonts w:ascii="Calibri" w:hAnsi="Calibri"/>
          <w:sz w:val="28"/>
          <w:szCs w:val="28"/>
        </w:rPr>
        <w:instrText xml:space="preserve"> HYPERLINK \l _Toc26375 </w:instrText>
      </w:r>
      <w:r>
        <w:rPr>
          <w:rFonts w:ascii="Calibri" w:hAnsi="Calibri"/>
          <w:sz w:val="28"/>
          <w:szCs w:val="28"/>
        </w:rPr>
        <w:fldChar w:fldCharType="separate"/>
      </w:r>
      <w:r>
        <w:rPr>
          <w:rFonts w:hint="eastAsia" w:ascii="楷体_GB2312" w:hAnsi="楷体_GB2312" w:eastAsia="楷体_GB2312" w:cs="楷体_GB2312"/>
          <w:bCs/>
          <w:i w:val="0"/>
          <w:iCs w:val="0"/>
          <w:caps w:val="0"/>
          <w:spacing w:val="0"/>
          <w:sz w:val="28"/>
          <w:szCs w:val="44"/>
          <w:shd w:val="clear" w:color="auto" w:fill="FAFAFA"/>
        </w:rPr>
        <w:t>（二）师资条件要求</w:t>
      </w:r>
      <w:r>
        <w:rPr>
          <w:sz w:val="28"/>
          <w:szCs w:val="28"/>
        </w:rPr>
        <w:tab/>
      </w:r>
      <w:r>
        <w:rPr>
          <w:sz w:val="28"/>
          <w:szCs w:val="28"/>
        </w:rPr>
        <w:fldChar w:fldCharType="begin"/>
      </w:r>
      <w:r>
        <w:rPr>
          <w:sz w:val="28"/>
          <w:szCs w:val="28"/>
        </w:rPr>
        <w:instrText xml:space="preserve"> PAGEREF _Toc26375 \h </w:instrText>
      </w:r>
      <w:r>
        <w:rPr>
          <w:sz w:val="28"/>
          <w:szCs w:val="28"/>
        </w:rPr>
        <w:fldChar w:fldCharType="separate"/>
      </w:r>
      <w:r>
        <w:rPr>
          <w:sz w:val="28"/>
          <w:szCs w:val="28"/>
        </w:rPr>
        <w:t>8</w:t>
      </w:r>
      <w:r>
        <w:rPr>
          <w:sz w:val="28"/>
          <w:szCs w:val="28"/>
        </w:rPr>
        <w:fldChar w:fldCharType="end"/>
      </w:r>
      <w:r>
        <w:rPr>
          <w:rFonts w:ascii="Calibri" w:hAnsi="Calibri"/>
          <w:sz w:val="28"/>
          <w:szCs w:val="28"/>
        </w:rPr>
        <w:fldChar w:fldCharType="end"/>
      </w:r>
    </w:p>
    <w:p>
      <w:pPr>
        <w:pStyle w:val="13"/>
        <w:tabs>
          <w:tab w:val="right" w:leader="dot" w:pos="8901"/>
        </w:tabs>
        <w:spacing w:line="360" w:lineRule="auto"/>
        <w:rPr>
          <w:sz w:val="28"/>
          <w:szCs w:val="28"/>
        </w:rPr>
      </w:pPr>
      <w:r>
        <w:rPr>
          <w:rFonts w:ascii="Calibri" w:hAnsi="Calibri"/>
          <w:sz w:val="28"/>
          <w:szCs w:val="28"/>
        </w:rPr>
        <w:fldChar w:fldCharType="begin"/>
      </w:r>
      <w:r>
        <w:rPr>
          <w:rFonts w:ascii="Calibri" w:hAnsi="Calibri"/>
          <w:sz w:val="28"/>
          <w:szCs w:val="28"/>
        </w:rPr>
        <w:instrText xml:space="preserve"> HYPERLINK \l _Toc31879 </w:instrText>
      </w:r>
      <w:r>
        <w:rPr>
          <w:rFonts w:ascii="Calibri" w:hAnsi="Calibri"/>
          <w:sz w:val="28"/>
          <w:szCs w:val="28"/>
        </w:rPr>
        <w:fldChar w:fldCharType="separate"/>
      </w:r>
      <w:r>
        <w:rPr>
          <w:rFonts w:hint="eastAsia" w:ascii="楷体_GB2312" w:hAnsi="楷体_GB2312" w:eastAsia="楷体_GB2312" w:cs="楷体_GB2312"/>
          <w:bCs/>
          <w:i w:val="0"/>
          <w:iCs w:val="0"/>
          <w:caps w:val="0"/>
          <w:spacing w:val="0"/>
          <w:sz w:val="28"/>
          <w:szCs w:val="44"/>
          <w:shd w:val="clear" w:color="auto" w:fill="FAFAFA"/>
        </w:rPr>
        <w:t>（三） 教学条件基本要求</w:t>
      </w:r>
      <w:r>
        <w:rPr>
          <w:sz w:val="28"/>
          <w:szCs w:val="28"/>
        </w:rPr>
        <w:tab/>
      </w:r>
      <w:r>
        <w:rPr>
          <w:sz w:val="28"/>
          <w:szCs w:val="28"/>
        </w:rPr>
        <w:fldChar w:fldCharType="begin"/>
      </w:r>
      <w:r>
        <w:rPr>
          <w:sz w:val="28"/>
          <w:szCs w:val="28"/>
        </w:rPr>
        <w:instrText xml:space="preserve"> PAGEREF _Toc31879 \h </w:instrText>
      </w:r>
      <w:r>
        <w:rPr>
          <w:sz w:val="28"/>
          <w:szCs w:val="28"/>
        </w:rPr>
        <w:fldChar w:fldCharType="separate"/>
      </w:r>
      <w:r>
        <w:rPr>
          <w:sz w:val="28"/>
          <w:szCs w:val="28"/>
        </w:rPr>
        <w:t>8</w:t>
      </w:r>
      <w:r>
        <w:rPr>
          <w:sz w:val="28"/>
          <w:szCs w:val="28"/>
        </w:rPr>
        <w:fldChar w:fldCharType="end"/>
      </w:r>
      <w:r>
        <w:rPr>
          <w:rFonts w:ascii="Calibri" w:hAnsi="Calibri"/>
          <w:sz w:val="28"/>
          <w:szCs w:val="28"/>
        </w:rPr>
        <w:fldChar w:fldCharType="end"/>
      </w:r>
    </w:p>
    <w:p>
      <w:pPr>
        <w:pStyle w:val="13"/>
        <w:tabs>
          <w:tab w:val="right" w:leader="dot" w:pos="8901"/>
        </w:tabs>
        <w:spacing w:line="360" w:lineRule="auto"/>
        <w:rPr>
          <w:sz w:val="28"/>
          <w:szCs w:val="28"/>
        </w:rPr>
      </w:pPr>
      <w:r>
        <w:rPr>
          <w:rFonts w:ascii="Calibri" w:hAnsi="Calibri"/>
          <w:sz w:val="28"/>
          <w:szCs w:val="28"/>
        </w:rPr>
        <w:fldChar w:fldCharType="begin"/>
      </w:r>
      <w:r>
        <w:rPr>
          <w:rFonts w:ascii="Calibri" w:hAnsi="Calibri"/>
          <w:sz w:val="28"/>
          <w:szCs w:val="28"/>
        </w:rPr>
        <w:instrText xml:space="preserve"> HYPERLINK \l _Toc5759 </w:instrText>
      </w:r>
      <w:r>
        <w:rPr>
          <w:rFonts w:ascii="Calibri" w:hAnsi="Calibri"/>
          <w:sz w:val="28"/>
          <w:szCs w:val="28"/>
        </w:rPr>
        <w:fldChar w:fldCharType="separate"/>
      </w:r>
      <w:r>
        <w:rPr>
          <w:rFonts w:hint="eastAsia" w:ascii="楷体_GB2312" w:hAnsi="楷体_GB2312" w:eastAsia="楷体_GB2312" w:cs="楷体_GB2312"/>
          <w:bCs/>
          <w:i w:val="0"/>
          <w:iCs w:val="0"/>
          <w:caps w:val="0"/>
          <w:spacing w:val="0"/>
          <w:sz w:val="28"/>
          <w:szCs w:val="44"/>
          <w:shd w:val="clear" w:color="auto" w:fill="FAFAFA"/>
        </w:rPr>
        <w:t>（四）教材和教参选用</w:t>
      </w:r>
      <w:r>
        <w:rPr>
          <w:sz w:val="28"/>
          <w:szCs w:val="28"/>
        </w:rPr>
        <w:tab/>
      </w:r>
      <w:r>
        <w:rPr>
          <w:sz w:val="28"/>
          <w:szCs w:val="28"/>
        </w:rPr>
        <w:fldChar w:fldCharType="begin"/>
      </w:r>
      <w:r>
        <w:rPr>
          <w:sz w:val="28"/>
          <w:szCs w:val="28"/>
        </w:rPr>
        <w:instrText xml:space="preserve"> PAGEREF _Toc5759 \h </w:instrText>
      </w:r>
      <w:r>
        <w:rPr>
          <w:sz w:val="28"/>
          <w:szCs w:val="28"/>
        </w:rPr>
        <w:fldChar w:fldCharType="separate"/>
      </w:r>
      <w:r>
        <w:rPr>
          <w:sz w:val="28"/>
          <w:szCs w:val="28"/>
        </w:rPr>
        <w:t>8</w:t>
      </w:r>
      <w:r>
        <w:rPr>
          <w:sz w:val="28"/>
          <w:szCs w:val="28"/>
        </w:rPr>
        <w:fldChar w:fldCharType="end"/>
      </w:r>
      <w:r>
        <w:rPr>
          <w:rFonts w:ascii="Calibri" w:hAnsi="Calibri"/>
          <w:sz w:val="28"/>
          <w:szCs w:val="28"/>
        </w:rPr>
        <w:fldChar w:fldCharType="end"/>
      </w:r>
    </w:p>
    <w:p>
      <w:pPr>
        <w:pStyle w:val="12"/>
        <w:tabs>
          <w:tab w:val="right" w:leader="dot" w:pos="8901"/>
        </w:tabs>
        <w:spacing w:line="360" w:lineRule="auto"/>
        <w:rPr>
          <w:b/>
          <w:sz w:val="28"/>
          <w:szCs w:val="28"/>
        </w:rPr>
      </w:pPr>
      <w:r>
        <w:rPr>
          <w:rFonts w:ascii="Calibri" w:hAnsi="Calibri"/>
          <w:b/>
          <w:sz w:val="28"/>
          <w:szCs w:val="28"/>
        </w:rPr>
        <w:fldChar w:fldCharType="begin"/>
      </w:r>
      <w:r>
        <w:rPr>
          <w:rFonts w:ascii="Calibri" w:hAnsi="Calibri"/>
          <w:b/>
          <w:sz w:val="28"/>
          <w:szCs w:val="28"/>
        </w:rPr>
        <w:instrText xml:space="preserve"> HYPERLINK \l _Toc7134 </w:instrText>
      </w:r>
      <w:r>
        <w:rPr>
          <w:rFonts w:ascii="Calibri" w:hAnsi="Calibri"/>
          <w:b/>
          <w:sz w:val="28"/>
          <w:szCs w:val="28"/>
        </w:rPr>
        <w:fldChar w:fldCharType="separate"/>
      </w:r>
      <w:r>
        <w:rPr>
          <w:rFonts w:hint="eastAsia" w:ascii="黑体" w:hAnsi="黑体" w:eastAsia="黑体" w:cs="Arial"/>
          <w:b/>
          <w:bCs/>
          <w:sz w:val="28"/>
          <w:szCs w:val="44"/>
        </w:rPr>
        <w:t>七、教学评价</w:t>
      </w:r>
      <w:r>
        <w:rPr>
          <w:rFonts w:hint="eastAsia" w:ascii="黑体" w:hAnsi="黑体" w:eastAsia="黑体" w:cs="宋体"/>
          <w:b/>
          <w:sz w:val="28"/>
          <w:szCs w:val="44"/>
        </w:rPr>
        <w:t>、考核要求</w:t>
      </w:r>
      <w:r>
        <w:rPr>
          <w:b/>
          <w:sz w:val="28"/>
          <w:szCs w:val="28"/>
        </w:rPr>
        <w:tab/>
      </w:r>
      <w:r>
        <w:rPr>
          <w:b/>
          <w:sz w:val="28"/>
          <w:szCs w:val="28"/>
        </w:rPr>
        <w:fldChar w:fldCharType="begin"/>
      </w:r>
      <w:r>
        <w:rPr>
          <w:b/>
          <w:sz w:val="28"/>
          <w:szCs w:val="28"/>
        </w:rPr>
        <w:instrText xml:space="preserve"> PAGEREF _Toc7134 \h </w:instrText>
      </w:r>
      <w:r>
        <w:rPr>
          <w:b/>
          <w:sz w:val="28"/>
          <w:szCs w:val="28"/>
        </w:rPr>
        <w:fldChar w:fldCharType="separate"/>
      </w:r>
      <w:r>
        <w:rPr>
          <w:b/>
          <w:sz w:val="28"/>
          <w:szCs w:val="28"/>
        </w:rPr>
        <w:t>8</w:t>
      </w:r>
      <w:r>
        <w:rPr>
          <w:b/>
          <w:sz w:val="28"/>
          <w:szCs w:val="28"/>
        </w:rPr>
        <w:fldChar w:fldCharType="end"/>
      </w:r>
      <w:r>
        <w:rPr>
          <w:rFonts w:ascii="Calibri" w:hAnsi="Calibri"/>
          <w:b/>
          <w:sz w:val="28"/>
          <w:szCs w:val="28"/>
        </w:rPr>
        <w:fldChar w:fldCharType="end"/>
      </w:r>
    </w:p>
    <w:p>
      <w:pPr>
        <w:pStyle w:val="13"/>
        <w:tabs>
          <w:tab w:val="right" w:leader="dot" w:pos="8901"/>
        </w:tabs>
        <w:spacing w:line="360" w:lineRule="auto"/>
        <w:rPr>
          <w:sz w:val="28"/>
          <w:szCs w:val="28"/>
        </w:rPr>
      </w:pPr>
      <w:r>
        <w:rPr>
          <w:rFonts w:ascii="Calibri" w:hAnsi="Calibri"/>
          <w:sz w:val="28"/>
          <w:szCs w:val="28"/>
        </w:rPr>
        <w:fldChar w:fldCharType="begin"/>
      </w:r>
      <w:r>
        <w:rPr>
          <w:rFonts w:ascii="Calibri" w:hAnsi="Calibri"/>
          <w:sz w:val="28"/>
          <w:szCs w:val="28"/>
        </w:rPr>
        <w:instrText xml:space="preserve"> HYPERLINK \l _Toc10720 </w:instrText>
      </w:r>
      <w:r>
        <w:rPr>
          <w:rFonts w:ascii="Calibri" w:hAnsi="Calibri"/>
          <w:sz w:val="28"/>
          <w:szCs w:val="28"/>
        </w:rPr>
        <w:fldChar w:fldCharType="separate"/>
      </w:r>
      <w:r>
        <w:rPr>
          <w:rFonts w:hint="eastAsia" w:ascii="楷体_GB2312" w:hAnsi="楷体_GB2312" w:eastAsia="楷体_GB2312" w:cs="楷体_GB2312"/>
          <w:bCs/>
          <w:i w:val="0"/>
          <w:iCs w:val="0"/>
          <w:caps w:val="0"/>
          <w:spacing w:val="0"/>
          <w:sz w:val="28"/>
          <w:szCs w:val="44"/>
          <w:shd w:val="clear" w:color="auto" w:fill="FAFAFA"/>
          <w:lang w:eastAsia="zh-CN"/>
        </w:rPr>
        <w:t>（一）</w:t>
      </w:r>
      <w:r>
        <w:rPr>
          <w:rFonts w:hint="eastAsia" w:ascii="楷体_GB2312" w:hAnsi="楷体_GB2312" w:eastAsia="楷体_GB2312" w:cs="楷体_GB2312"/>
          <w:bCs/>
          <w:i w:val="0"/>
          <w:iCs w:val="0"/>
          <w:caps w:val="0"/>
          <w:spacing w:val="0"/>
          <w:sz w:val="28"/>
          <w:szCs w:val="44"/>
          <w:shd w:val="clear" w:color="auto" w:fill="FAFAFA"/>
        </w:rPr>
        <w:t>考核及成绩评定方式</w:t>
      </w:r>
      <w:r>
        <w:rPr>
          <w:sz w:val="28"/>
          <w:szCs w:val="28"/>
        </w:rPr>
        <w:tab/>
      </w:r>
      <w:r>
        <w:rPr>
          <w:sz w:val="28"/>
          <w:szCs w:val="28"/>
        </w:rPr>
        <w:fldChar w:fldCharType="begin"/>
      </w:r>
      <w:r>
        <w:rPr>
          <w:sz w:val="28"/>
          <w:szCs w:val="28"/>
        </w:rPr>
        <w:instrText xml:space="preserve"> PAGEREF _Toc10720 \h </w:instrText>
      </w:r>
      <w:r>
        <w:rPr>
          <w:sz w:val="28"/>
          <w:szCs w:val="28"/>
        </w:rPr>
        <w:fldChar w:fldCharType="separate"/>
      </w:r>
      <w:r>
        <w:rPr>
          <w:sz w:val="28"/>
          <w:szCs w:val="28"/>
        </w:rPr>
        <w:t>9</w:t>
      </w:r>
      <w:r>
        <w:rPr>
          <w:sz w:val="28"/>
          <w:szCs w:val="28"/>
        </w:rPr>
        <w:fldChar w:fldCharType="end"/>
      </w:r>
      <w:r>
        <w:rPr>
          <w:rFonts w:ascii="Calibri" w:hAnsi="Calibri"/>
          <w:sz w:val="28"/>
          <w:szCs w:val="28"/>
        </w:rPr>
        <w:fldChar w:fldCharType="end"/>
      </w:r>
    </w:p>
    <w:p>
      <w:pPr>
        <w:pStyle w:val="13"/>
        <w:tabs>
          <w:tab w:val="right" w:leader="dot" w:pos="8901"/>
        </w:tabs>
        <w:spacing w:line="360" w:lineRule="auto"/>
        <w:rPr>
          <w:sz w:val="28"/>
          <w:szCs w:val="28"/>
        </w:rPr>
      </w:pPr>
      <w:r>
        <w:rPr>
          <w:rFonts w:ascii="Calibri" w:hAnsi="Calibri"/>
          <w:sz w:val="28"/>
          <w:szCs w:val="28"/>
        </w:rPr>
        <w:fldChar w:fldCharType="begin"/>
      </w:r>
      <w:r>
        <w:rPr>
          <w:rFonts w:ascii="Calibri" w:hAnsi="Calibri"/>
          <w:sz w:val="28"/>
          <w:szCs w:val="28"/>
        </w:rPr>
        <w:instrText xml:space="preserve"> HYPERLINK \l _Toc7594 </w:instrText>
      </w:r>
      <w:r>
        <w:rPr>
          <w:rFonts w:ascii="Calibri" w:hAnsi="Calibri"/>
          <w:sz w:val="28"/>
          <w:szCs w:val="28"/>
        </w:rPr>
        <w:fldChar w:fldCharType="separate"/>
      </w:r>
      <w:r>
        <w:rPr>
          <w:rFonts w:hint="eastAsia" w:ascii="楷体_GB2312" w:hAnsi="楷体_GB2312" w:eastAsia="楷体_GB2312" w:cs="楷体_GB2312"/>
          <w:bCs/>
          <w:i w:val="0"/>
          <w:iCs w:val="0"/>
          <w:caps w:val="0"/>
          <w:spacing w:val="0"/>
          <w:sz w:val="28"/>
          <w:szCs w:val="44"/>
          <w:shd w:val="clear" w:color="auto" w:fill="FAFAFA"/>
          <w:lang w:eastAsia="zh-CN"/>
        </w:rPr>
        <w:t>（二）</w:t>
      </w:r>
      <w:r>
        <w:rPr>
          <w:rFonts w:hint="eastAsia" w:ascii="楷体_GB2312" w:hAnsi="楷体_GB2312" w:eastAsia="楷体_GB2312" w:cs="楷体_GB2312"/>
          <w:bCs/>
          <w:i w:val="0"/>
          <w:iCs w:val="0"/>
          <w:caps w:val="0"/>
          <w:spacing w:val="0"/>
          <w:sz w:val="28"/>
          <w:szCs w:val="44"/>
          <w:shd w:val="clear" w:color="auto" w:fill="FAFAFA"/>
        </w:rPr>
        <w:t>考核评价标准</w:t>
      </w:r>
      <w:r>
        <w:rPr>
          <w:sz w:val="28"/>
          <w:szCs w:val="28"/>
        </w:rPr>
        <w:tab/>
      </w:r>
      <w:r>
        <w:rPr>
          <w:sz w:val="28"/>
          <w:szCs w:val="28"/>
        </w:rPr>
        <w:fldChar w:fldCharType="begin"/>
      </w:r>
      <w:r>
        <w:rPr>
          <w:sz w:val="28"/>
          <w:szCs w:val="28"/>
        </w:rPr>
        <w:instrText xml:space="preserve"> PAGEREF _Toc7594 \h </w:instrText>
      </w:r>
      <w:r>
        <w:rPr>
          <w:sz w:val="28"/>
          <w:szCs w:val="28"/>
        </w:rPr>
        <w:fldChar w:fldCharType="separate"/>
      </w:r>
      <w:r>
        <w:rPr>
          <w:sz w:val="28"/>
          <w:szCs w:val="28"/>
        </w:rPr>
        <w:t>9</w:t>
      </w:r>
      <w:r>
        <w:rPr>
          <w:sz w:val="28"/>
          <w:szCs w:val="28"/>
        </w:rPr>
        <w:fldChar w:fldCharType="end"/>
      </w:r>
      <w:r>
        <w:rPr>
          <w:rFonts w:ascii="Calibri" w:hAnsi="Calibri"/>
          <w:sz w:val="28"/>
          <w:szCs w:val="28"/>
        </w:rPr>
        <w:fldChar w:fldCharType="end"/>
      </w:r>
    </w:p>
    <w:p>
      <w:pPr>
        <w:spacing w:line="360" w:lineRule="auto"/>
        <w:rPr>
          <w:rFonts w:ascii="Calibri" w:hAnsi="Calibri"/>
        </w:rPr>
      </w:pPr>
      <w:r>
        <w:rPr>
          <w:rFonts w:ascii="Calibri" w:hAnsi="Calibri"/>
          <w:b/>
          <w:sz w:val="32"/>
          <w:szCs w:val="32"/>
        </w:rPr>
        <w:fldChar w:fldCharType="end"/>
      </w: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widowControl/>
        <w:spacing w:before="100" w:beforeAutospacing="1" w:after="100" w:afterAutospacing="1"/>
        <w:jc w:val="center"/>
        <w:outlineLvl w:val="0"/>
        <w:rPr>
          <w:rFonts w:hint="eastAsia" w:ascii="方正小标宋简体" w:hAnsi="宋体" w:eastAsia="方正小标宋简体" w:cs="Times New Roman"/>
          <w:b/>
          <w:sz w:val="44"/>
          <w:szCs w:val="44"/>
        </w:rPr>
      </w:pPr>
      <w:bookmarkStart w:id="25" w:name="_Toc6764"/>
      <w:bookmarkStart w:id="26" w:name="_Toc31482"/>
      <w:r>
        <w:rPr>
          <w:rFonts w:hint="eastAsia" w:ascii="方正小标宋简体" w:hAnsi="宋体" w:eastAsia="方正小标宋简体" w:cs="Times New Roman"/>
          <w:b/>
          <w:sz w:val="44"/>
          <w:szCs w:val="44"/>
        </w:rPr>
        <w:t>《</w:t>
      </w:r>
      <w:r>
        <w:rPr>
          <w:rFonts w:hint="eastAsia" w:ascii="方正小标宋简体" w:hAnsi="宋体" w:eastAsia="方正小标宋简体" w:cs="Times New Roman"/>
          <w:b/>
          <w:sz w:val="44"/>
          <w:szCs w:val="44"/>
          <w:lang w:eastAsia="zh-CN"/>
        </w:rPr>
        <w:t>新能源汽车概述</w:t>
      </w:r>
      <w:r>
        <w:rPr>
          <w:rFonts w:hint="eastAsia" w:ascii="方正小标宋简体" w:hAnsi="宋体" w:eastAsia="方正小标宋简体" w:cs="Times New Roman"/>
          <w:b/>
          <w:sz w:val="44"/>
          <w:szCs w:val="44"/>
        </w:rPr>
        <w:t>》课程标准</w:t>
      </w:r>
      <w:bookmarkEnd w:id="25"/>
      <w:bookmarkEnd w:id="26"/>
    </w:p>
    <w:p>
      <w:pPr>
        <w:widowControl/>
        <w:adjustRightInd w:val="0"/>
        <w:snapToGrid w:val="0"/>
        <w:spacing w:before="100" w:beforeAutospacing="1" w:after="100" w:afterAutospacing="1"/>
        <w:ind w:firstLine="482"/>
        <w:jc w:val="left"/>
        <w:outlineLvl w:val="0"/>
        <w:rPr>
          <w:rFonts w:ascii="黑体" w:hAnsi="黑体" w:eastAsia="黑体" w:cs="Arial"/>
          <w:b/>
          <w:bCs/>
          <w:sz w:val="30"/>
          <w:szCs w:val="30"/>
        </w:rPr>
      </w:pPr>
      <w:bookmarkStart w:id="27" w:name="_Toc2446"/>
      <w:bookmarkStart w:id="28" w:name="_Toc16096"/>
      <w:r>
        <w:rPr>
          <w:rFonts w:hint="eastAsia" w:ascii="黑体" w:hAnsi="黑体" w:eastAsia="黑体" w:cs="Arial"/>
          <w:b/>
          <w:bCs/>
          <w:sz w:val="30"/>
          <w:szCs w:val="30"/>
        </w:rPr>
        <w:t>一、课程基本信息</w:t>
      </w:r>
      <w:bookmarkEnd w:id="27"/>
      <w:bookmarkEnd w:id="28"/>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3106"/>
        <w:gridCol w:w="169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pPr>
              <w:widowControl/>
              <w:spacing w:before="100" w:beforeAutospacing="1" w:after="100" w:afterAutospacing="1"/>
              <w:ind w:firstLine="482"/>
              <w:jc w:val="center"/>
              <w:rPr>
                <w:rFonts w:ascii="仿宋_GB2312" w:hAnsi="宋体" w:eastAsia="仿宋_GB2312" w:cs="Arial"/>
                <w:sz w:val="24"/>
                <w:szCs w:val="24"/>
              </w:rPr>
            </w:pPr>
            <w:r>
              <w:rPr>
                <w:rFonts w:hint="eastAsia" w:ascii="仿宋_GB2312" w:hAnsi="宋体" w:eastAsia="仿宋_GB2312" w:cs="Arial"/>
                <w:sz w:val="24"/>
                <w:szCs w:val="24"/>
              </w:rPr>
              <w:t>课程名称</w:t>
            </w:r>
          </w:p>
        </w:tc>
        <w:tc>
          <w:tcPr>
            <w:tcW w:w="3147" w:type="dxa"/>
            <w:noWrap w:val="0"/>
            <w:vAlign w:val="center"/>
          </w:tcPr>
          <w:p>
            <w:pPr>
              <w:widowControl/>
              <w:spacing w:before="100" w:beforeAutospacing="1" w:after="100" w:afterAutospacing="1"/>
              <w:jc w:val="left"/>
              <w:rPr>
                <w:rFonts w:ascii="仿宋_GB2312" w:hAnsi="宋体" w:eastAsia="仿宋_GB2312" w:cs="Arial"/>
                <w:sz w:val="24"/>
                <w:szCs w:val="24"/>
              </w:rPr>
            </w:pPr>
            <w:r>
              <w:rPr>
                <w:rFonts w:hint="eastAsia" w:ascii="仿宋_GB2312" w:hAnsi="宋体" w:eastAsia="仿宋_GB2312" w:cs="Arial"/>
                <w:sz w:val="24"/>
                <w:szCs w:val="24"/>
              </w:rPr>
              <w:t>新能源汽车概述</w:t>
            </w:r>
          </w:p>
        </w:tc>
        <w:tc>
          <w:tcPr>
            <w:tcW w:w="1710" w:type="dxa"/>
            <w:noWrap w:val="0"/>
            <w:vAlign w:val="center"/>
          </w:tcPr>
          <w:p>
            <w:pPr>
              <w:widowControl/>
              <w:spacing w:before="100" w:beforeAutospacing="1" w:after="100" w:afterAutospacing="1"/>
              <w:ind w:firstLine="34"/>
              <w:jc w:val="center"/>
              <w:rPr>
                <w:rFonts w:ascii="仿宋_GB2312" w:hAnsi="宋体" w:eastAsia="仿宋_GB2312" w:cs="Arial"/>
                <w:sz w:val="24"/>
                <w:szCs w:val="24"/>
              </w:rPr>
            </w:pPr>
            <w:r>
              <w:rPr>
                <w:rFonts w:hint="eastAsia" w:ascii="仿宋_GB2312" w:hAnsi="宋体" w:eastAsia="仿宋_GB2312" w:cs="Arial"/>
                <w:sz w:val="24"/>
                <w:szCs w:val="24"/>
              </w:rPr>
              <w:t>总学时</w:t>
            </w:r>
          </w:p>
        </w:tc>
        <w:tc>
          <w:tcPr>
            <w:tcW w:w="1626" w:type="dxa"/>
            <w:noWrap w:val="0"/>
            <w:vAlign w:val="center"/>
          </w:tcPr>
          <w:p>
            <w:pPr>
              <w:widowControl/>
              <w:spacing w:before="100" w:beforeAutospacing="1" w:after="100" w:afterAutospacing="1"/>
              <w:jc w:val="both"/>
              <w:rPr>
                <w:rFonts w:hint="default" w:ascii="仿宋_GB2312" w:hAnsi="宋体" w:eastAsia="仿宋_GB2312" w:cs="Arial"/>
                <w:sz w:val="24"/>
                <w:szCs w:val="24"/>
                <w:lang w:val="en-US" w:eastAsia="zh-CN"/>
              </w:rPr>
            </w:pPr>
            <w:r>
              <w:rPr>
                <w:rFonts w:hint="eastAsia" w:ascii="仿宋_GB2312" w:hAnsi="宋体" w:eastAsia="仿宋_GB2312" w:cs="Arial"/>
                <w:sz w:val="24"/>
                <w:szCs w:val="24"/>
                <w:lang w:val="en-US" w:eastAsia="zh-CN"/>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pPr>
              <w:widowControl/>
              <w:spacing w:before="100" w:beforeAutospacing="1" w:after="100" w:afterAutospacing="1"/>
              <w:ind w:firstLine="482"/>
              <w:jc w:val="center"/>
              <w:rPr>
                <w:rFonts w:ascii="仿宋_GB2312" w:hAnsi="宋体" w:eastAsia="仿宋_GB2312" w:cs="Arial"/>
                <w:sz w:val="24"/>
                <w:szCs w:val="24"/>
              </w:rPr>
            </w:pPr>
            <w:r>
              <w:rPr>
                <w:rFonts w:hint="eastAsia" w:ascii="仿宋_GB2312" w:hAnsi="宋体" w:eastAsia="仿宋_GB2312" w:cs="Arial"/>
                <w:sz w:val="24"/>
                <w:szCs w:val="24"/>
              </w:rPr>
              <w:t>适用专业</w:t>
            </w:r>
          </w:p>
        </w:tc>
        <w:tc>
          <w:tcPr>
            <w:tcW w:w="3147" w:type="dxa"/>
            <w:noWrap w:val="0"/>
            <w:vAlign w:val="center"/>
          </w:tcPr>
          <w:p>
            <w:pPr>
              <w:widowControl/>
              <w:spacing w:before="100" w:beforeAutospacing="1" w:after="100" w:afterAutospacing="1"/>
              <w:jc w:val="left"/>
              <w:rPr>
                <w:rFonts w:ascii="仿宋_GB2312" w:hAnsi="宋体" w:eastAsia="仿宋_GB2312" w:cs="Arial"/>
                <w:sz w:val="24"/>
                <w:szCs w:val="24"/>
              </w:rPr>
            </w:pPr>
            <w:r>
              <w:rPr>
                <w:rFonts w:hint="eastAsia" w:ascii="仿宋_GB2312" w:hAnsi="宋体" w:eastAsia="仿宋_GB2312" w:cs="Arial"/>
                <w:sz w:val="24"/>
                <w:szCs w:val="24"/>
                <w:lang w:eastAsia="zh-CN"/>
              </w:rPr>
              <w:t>新能源汽车检测维修</w:t>
            </w:r>
            <w:r>
              <w:rPr>
                <w:rFonts w:hint="eastAsia" w:ascii="仿宋_GB2312" w:hAnsi="宋体" w:eastAsia="仿宋_GB2312" w:cs="Arial"/>
                <w:sz w:val="24"/>
                <w:szCs w:val="24"/>
              </w:rPr>
              <w:t xml:space="preserve">专业 </w:t>
            </w:r>
          </w:p>
        </w:tc>
        <w:tc>
          <w:tcPr>
            <w:tcW w:w="1710" w:type="dxa"/>
            <w:noWrap w:val="0"/>
            <w:vAlign w:val="center"/>
          </w:tcPr>
          <w:p>
            <w:pPr>
              <w:widowControl/>
              <w:spacing w:before="100" w:beforeAutospacing="1" w:after="100" w:afterAutospacing="1"/>
              <w:jc w:val="center"/>
              <w:rPr>
                <w:rFonts w:ascii="仿宋_GB2312" w:hAnsi="宋体" w:eastAsia="仿宋_GB2312" w:cs="Arial"/>
                <w:sz w:val="24"/>
                <w:szCs w:val="24"/>
              </w:rPr>
            </w:pPr>
            <w:r>
              <w:rPr>
                <w:rFonts w:hint="eastAsia" w:ascii="仿宋_GB2312" w:hAnsi="宋体" w:eastAsia="仿宋_GB2312" w:cs="Arial"/>
                <w:sz w:val="24"/>
                <w:szCs w:val="24"/>
              </w:rPr>
              <w:t>开课部门</w:t>
            </w:r>
          </w:p>
        </w:tc>
        <w:tc>
          <w:tcPr>
            <w:tcW w:w="1626" w:type="dxa"/>
            <w:noWrap w:val="0"/>
            <w:vAlign w:val="center"/>
          </w:tcPr>
          <w:p>
            <w:pPr>
              <w:widowControl/>
              <w:spacing w:before="100" w:beforeAutospacing="1" w:after="100" w:afterAutospacing="1"/>
              <w:jc w:val="left"/>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汽车工程系</w:t>
            </w:r>
          </w:p>
        </w:tc>
      </w:tr>
    </w:tbl>
    <w:p>
      <w:pPr>
        <w:widowControl/>
        <w:numPr>
          <w:ilvl w:val="0"/>
          <w:numId w:val="8"/>
        </w:numPr>
        <w:adjustRightInd w:val="0"/>
        <w:snapToGrid w:val="0"/>
        <w:spacing w:before="100" w:beforeAutospacing="1" w:after="100" w:afterAutospacing="1"/>
        <w:ind w:firstLine="482"/>
        <w:jc w:val="left"/>
        <w:outlineLvl w:val="0"/>
        <w:rPr>
          <w:rFonts w:hint="eastAsia" w:ascii="黑体" w:hAnsi="黑体" w:eastAsia="黑体" w:cs="Arial"/>
          <w:b/>
          <w:bCs/>
          <w:sz w:val="30"/>
          <w:szCs w:val="30"/>
        </w:rPr>
      </w:pPr>
      <w:bookmarkStart w:id="29" w:name="_Toc16250"/>
      <w:bookmarkStart w:id="30" w:name="_Toc13408"/>
      <w:r>
        <w:rPr>
          <w:rFonts w:hint="eastAsia" w:ascii="黑体" w:hAnsi="黑体" w:eastAsia="黑体" w:cs="Arial"/>
          <w:b/>
          <w:bCs/>
          <w:sz w:val="30"/>
          <w:szCs w:val="30"/>
        </w:rPr>
        <w:t>课程性质</w:t>
      </w:r>
      <w:bookmarkEnd w:id="29"/>
      <w:bookmarkEnd w:id="30"/>
    </w:p>
    <w:p>
      <w:pPr>
        <w:widowControl/>
        <w:spacing w:before="100" w:beforeAutospacing="1" w:after="100" w:afterAutospacing="1" w:line="400" w:lineRule="exact"/>
        <w:ind w:firstLine="482"/>
        <w:jc w:val="left"/>
        <w:outlineLvl w:val="1"/>
        <w:rPr>
          <w:rFonts w:hint="eastAsia" w:ascii="仿宋" w:hAnsi="仿宋" w:eastAsia="仿宋" w:cs="Arial"/>
          <w:b/>
          <w:bCs/>
          <w:sz w:val="30"/>
          <w:szCs w:val="30"/>
        </w:rPr>
      </w:pPr>
      <w:bookmarkStart w:id="31" w:name="_Toc8110"/>
      <w:r>
        <w:rPr>
          <w:rFonts w:hint="eastAsia" w:ascii="仿宋" w:hAnsi="仿宋" w:eastAsia="仿宋" w:cs="Arial"/>
          <w:b/>
          <w:bCs/>
          <w:sz w:val="30"/>
          <w:szCs w:val="30"/>
          <w:lang w:eastAsia="zh-CN"/>
        </w:rPr>
        <w:t>（一）</w:t>
      </w:r>
      <w:r>
        <w:rPr>
          <w:rFonts w:hint="eastAsia" w:ascii="仿宋" w:hAnsi="仿宋" w:eastAsia="仿宋" w:cs="Arial"/>
          <w:b/>
          <w:bCs/>
          <w:sz w:val="30"/>
          <w:szCs w:val="30"/>
        </w:rPr>
        <w:t> 课程性质</w:t>
      </w:r>
      <w:bookmarkEnd w:id="31"/>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80"/>
        <w:jc w:val="left"/>
        <w:textAlignment w:val="auto"/>
        <w:rPr>
          <w:rFonts w:hint="eastAsia" w:ascii="仿宋_GB2312" w:hAnsi="仿宋_GB2312" w:eastAsia="仿宋_GB2312" w:cs="仿宋_GB2312"/>
          <w:i w:val="0"/>
          <w:iCs w:val="0"/>
          <w:caps w:val="0"/>
          <w:color w:val="1B1B1B"/>
          <w:spacing w:val="0"/>
          <w:sz w:val="28"/>
          <w:szCs w:val="28"/>
        </w:rPr>
      </w:pPr>
      <w:r>
        <w:rPr>
          <w:rFonts w:hint="eastAsia" w:ascii="仿宋_GB2312" w:hAnsi="仿宋_GB2312" w:eastAsia="仿宋_GB2312" w:cs="仿宋_GB2312"/>
          <w:i w:val="0"/>
          <w:iCs w:val="0"/>
          <w:caps w:val="0"/>
          <w:color w:val="1B1B1B"/>
          <w:spacing w:val="0"/>
          <w:sz w:val="28"/>
          <w:szCs w:val="28"/>
          <w:shd w:val="clear" w:color="auto" w:fill="FAFAFA"/>
        </w:rPr>
        <w:t>《新能源汽车概述》课程是一门重要的专业</w:t>
      </w:r>
      <w:r>
        <w:rPr>
          <w:rFonts w:hint="eastAsia" w:ascii="仿宋_GB2312" w:hAnsi="仿宋_GB2312" w:eastAsia="仿宋_GB2312" w:cs="仿宋_GB2312"/>
          <w:i w:val="0"/>
          <w:iCs w:val="0"/>
          <w:caps w:val="0"/>
          <w:color w:val="1B1B1B"/>
          <w:spacing w:val="0"/>
          <w:sz w:val="28"/>
          <w:szCs w:val="28"/>
          <w:shd w:val="clear" w:color="auto" w:fill="FAFAFA"/>
          <w:lang w:eastAsia="zh-CN"/>
        </w:rPr>
        <w:t>基础</w:t>
      </w:r>
      <w:r>
        <w:rPr>
          <w:rFonts w:hint="eastAsia" w:ascii="仿宋_GB2312" w:hAnsi="仿宋_GB2312" w:eastAsia="仿宋_GB2312" w:cs="仿宋_GB2312"/>
          <w:i w:val="0"/>
          <w:iCs w:val="0"/>
          <w:caps w:val="0"/>
          <w:color w:val="1B1B1B"/>
          <w:spacing w:val="0"/>
          <w:sz w:val="28"/>
          <w:szCs w:val="28"/>
          <w:shd w:val="clear" w:color="auto" w:fill="FAFAFA"/>
        </w:rPr>
        <w:t>课程。</w:t>
      </w:r>
    </w:p>
    <w:p>
      <w:pPr>
        <w:widowControl/>
        <w:spacing w:before="100" w:beforeAutospacing="1" w:after="100" w:afterAutospacing="1" w:line="400" w:lineRule="exact"/>
        <w:ind w:firstLine="482"/>
        <w:jc w:val="left"/>
        <w:outlineLvl w:val="1"/>
        <w:rPr>
          <w:rFonts w:hint="eastAsia" w:ascii="仿宋" w:hAnsi="仿宋" w:eastAsia="仿宋" w:cs="Arial"/>
          <w:b/>
          <w:bCs/>
          <w:sz w:val="30"/>
          <w:szCs w:val="30"/>
          <w:lang w:eastAsia="zh-CN"/>
        </w:rPr>
      </w:pPr>
      <w:bookmarkStart w:id="32" w:name="_Toc5464"/>
      <w:r>
        <w:rPr>
          <w:rFonts w:hint="eastAsia" w:ascii="仿宋" w:hAnsi="仿宋" w:eastAsia="仿宋" w:cs="Arial"/>
          <w:b/>
          <w:bCs/>
          <w:sz w:val="30"/>
          <w:szCs w:val="30"/>
          <w:lang w:eastAsia="zh-CN"/>
        </w:rPr>
        <w:t>（二）课程地位</w:t>
      </w:r>
      <w:bookmarkEnd w:id="32"/>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i w:val="0"/>
          <w:iCs w:val="0"/>
          <w:caps w:val="0"/>
          <w:color w:val="1B1B1B"/>
          <w:spacing w:val="0"/>
          <w:sz w:val="28"/>
          <w:szCs w:val="28"/>
        </w:rPr>
      </w:pPr>
      <w:r>
        <w:rPr>
          <w:rFonts w:hint="eastAsia" w:ascii="仿宋_GB2312" w:hAnsi="仿宋_GB2312" w:eastAsia="仿宋_GB2312" w:cs="仿宋_GB2312"/>
          <w:i w:val="0"/>
          <w:iCs w:val="0"/>
          <w:caps w:val="0"/>
          <w:color w:val="1B1B1B"/>
          <w:spacing w:val="0"/>
          <w:sz w:val="28"/>
          <w:szCs w:val="28"/>
          <w:shd w:val="clear" w:color="auto" w:fill="FAFAFA"/>
        </w:rPr>
        <w:t>通过该课程的学习能让学生掌握电动汽车用动力电池、电动汽车驱动装置、纯电动汽车、混合动力电动汽车、燃料电池电动汽车的组成、工作原理和维护方法，使学生全面掌握新能源汽车整体概况，有助于区别传统燃油车，对高压安全有较深刻认识，为后续新能源课程的学习和安全操作奠定坚实的基础。</w:t>
      </w:r>
    </w:p>
    <w:p>
      <w:pPr>
        <w:widowControl/>
        <w:spacing w:before="100" w:beforeAutospacing="1" w:after="100" w:afterAutospacing="1" w:line="400" w:lineRule="exact"/>
        <w:ind w:firstLine="482"/>
        <w:jc w:val="left"/>
        <w:outlineLvl w:val="1"/>
        <w:rPr>
          <w:rFonts w:hint="eastAsia" w:ascii="仿宋" w:hAnsi="仿宋" w:eastAsia="仿宋" w:cs="Arial"/>
          <w:b/>
          <w:bCs/>
          <w:sz w:val="30"/>
          <w:szCs w:val="30"/>
          <w:lang w:eastAsia="zh-CN"/>
        </w:rPr>
      </w:pPr>
      <w:bookmarkStart w:id="33" w:name="_Toc23804"/>
      <w:r>
        <w:rPr>
          <w:rFonts w:hint="eastAsia" w:ascii="仿宋" w:hAnsi="仿宋" w:eastAsia="仿宋" w:cs="Arial"/>
          <w:b/>
          <w:bCs/>
          <w:sz w:val="30"/>
          <w:szCs w:val="30"/>
          <w:lang w:eastAsia="zh-CN"/>
        </w:rPr>
        <w:t>（三）与相关课程的联系与分工</w:t>
      </w:r>
      <w:bookmarkEnd w:id="3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i w:val="0"/>
          <w:iCs w:val="0"/>
          <w:caps w:val="0"/>
          <w:color w:val="1B1B1B"/>
          <w:spacing w:val="0"/>
          <w:sz w:val="28"/>
          <w:szCs w:val="28"/>
          <w:shd w:val="clear" w:color="auto" w:fill="FAFAFA"/>
        </w:rPr>
        <w:t>《新能源汽车概述》的前修课程为《汽车电工技术基础》、《汽车</w:t>
      </w:r>
      <w:r>
        <w:rPr>
          <w:rFonts w:hint="eastAsia" w:ascii="仿宋_GB2312" w:hAnsi="仿宋_GB2312" w:eastAsia="仿宋_GB2312" w:cs="仿宋_GB2312"/>
          <w:i w:val="0"/>
          <w:iCs w:val="0"/>
          <w:caps w:val="0"/>
          <w:color w:val="1B1B1B"/>
          <w:spacing w:val="0"/>
          <w:sz w:val="28"/>
          <w:szCs w:val="28"/>
          <w:shd w:val="clear" w:color="auto" w:fill="FAFAFA"/>
          <w:lang w:eastAsia="zh-CN"/>
        </w:rPr>
        <w:t>构造</w:t>
      </w:r>
      <w:r>
        <w:rPr>
          <w:rFonts w:hint="eastAsia" w:ascii="仿宋_GB2312" w:hAnsi="仿宋_GB2312" w:eastAsia="仿宋_GB2312" w:cs="仿宋_GB2312"/>
          <w:i w:val="0"/>
          <w:iCs w:val="0"/>
          <w:caps w:val="0"/>
          <w:color w:val="1B1B1B"/>
          <w:spacing w:val="0"/>
          <w:sz w:val="28"/>
          <w:szCs w:val="28"/>
          <w:shd w:val="clear" w:color="auto" w:fill="FAFAFA"/>
        </w:rPr>
        <w:t>》，在前修课程的基础上进行能力的深化以及综合运用；后续课程为《</w:t>
      </w:r>
      <w:r>
        <w:rPr>
          <w:rFonts w:hint="eastAsia" w:ascii="仿宋_GB2312" w:hAnsi="仿宋_GB2312" w:eastAsia="仿宋_GB2312" w:cs="仿宋_GB2312"/>
          <w:i w:val="0"/>
          <w:iCs w:val="0"/>
          <w:caps w:val="0"/>
          <w:color w:val="1B1B1B"/>
          <w:spacing w:val="0"/>
          <w:sz w:val="28"/>
          <w:szCs w:val="28"/>
          <w:shd w:val="clear" w:color="auto" w:fill="FAFAFA"/>
          <w:lang w:eastAsia="zh-CN"/>
        </w:rPr>
        <w:t>电动汽车检查与保养</w:t>
      </w:r>
      <w:r>
        <w:rPr>
          <w:rFonts w:hint="eastAsia" w:ascii="仿宋_GB2312" w:hAnsi="仿宋_GB2312" w:eastAsia="仿宋_GB2312" w:cs="仿宋_GB2312"/>
          <w:i w:val="0"/>
          <w:iCs w:val="0"/>
          <w:caps w:val="0"/>
          <w:color w:val="1B1B1B"/>
          <w:spacing w:val="0"/>
          <w:sz w:val="28"/>
          <w:szCs w:val="28"/>
          <w:shd w:val="clear" w:color="auto" w:fill="FAFAFA"/>
        </w:rPr>
        <w:t>》、《</w:t>
      </w:r>
      <w:r>
        <w:rPr>
          <w:rFonts w:hint="eastAsia" w:ascii="仿宋_GB2312" w:hAnsi="仿宋_GB2312" w:eastAsia="仿宋_GB2312" w:cs="仿宋_GB2312"/>
          <w:i w:val="0"/>
          <w:iCs w:val="0"/>
          <w:caps w:val="0"/>
          <w:color w:val="1B1B1B"/>
          <w:spacing w:val="0"/>
          <w:sz w:val="28"/>
          <w:szCs w:val="28"/>
          <w:shd w:val="clear" w:color="auto" w:fill="FAFAFA"/>
          <w:lang w:eastAsia="zh-CN"/>
        </w:rPr>
        <w:t>新能源汽车故障诊断与排除</w:t>
      </w:r>
      <w:r>
        <w:rPr>
          <w:rFonts w:hint="eastAsia" w:ascii="仿宋_GB2312" w:hAnsi="仿宋_GB2312" w:eastAsia="仿宋_GB2312" w:cs="仿宋_GB2312"/>
          <w:i w:val="0"/>
          <w:iCs w:val="0"/>
          <w:caps w:val="0"/>
          <w:color w:val="1B1B1B"/>
          <w:spacing w:val="0"/>
          <w:sz w:val="28"/>
          <w:szCs w:val="28"/>
          <w:shd w:val="clear" w:color="auto" w:fill="FAFAFA"/>
        </w:rPr>
        <w:t>》，是整个后续课程的基础，在整个课程体系中起承上启下的作用。</w:t>
      </w:r>
    </w:p>
    <w:p>
      <w:pPr>
        <w:widowControl/>
        <w:numPr>
          <w:ilvl w:val="0"/>
          <w:numId w:val="8"/>
        </w:numPr>
        <w:adjustRightInd w:val="0"/>
        <w:snapToGrid w:val="0"/>
        <w:spacing w:before="100" w:beforeAutospacing="1" w:after="100" w:afterAutospacing="1" w:line="560" w:lineRule="exact"/>
        <w:ind w:left="0" w:leftChars="0" w:firstLine="482" w:firstLineChars="0"/>
        <w:jc w:val="left"/>
        <w:outlineLvl w:val="0"/>
        <w:rPr>
          <w:rFonts w:hint="eastAsia" w:ascii="仿宋_GB2312" w:hAnsi="仿宋_GB2312" w:eastAsia="仿宋_GB2312" w:cs="仿宋_GB2312"/>
          <w:i w:val="0"/>
          <w:iCs w:val="0"/>
          <w:caps w:val="0"/>
          <w:color w:val="1B1B1B"/>
          <w:spacing w:val="0"/>
          <w:sz w:val="28"/>
          <w:szCs w:val="28"/>
          <w:shd w:val="clear" w:color="auto" w:fill="FAFAFA"/>
        </w:rPr>
      </w:pPr>
      <w:bookmarkStart w:id="34" w:name="_Toc2518"/>
      <w:bookmarkStart w:id="35" w:name="_Toc29948"/>
      <w:r>
        <w:rPr>
          <w:rFonts w:hint="eastAsia" w:ascii="黑体" w:hAnsi="黑体" w:eastAsia="黑体" w:cs="Arial"/>
          <w:b/>
          <w:bCs/>
          <w:sz w:val="30"/>
          <w:szCs w:val="30"/>
        </w:rPr>
        <w:t>课程设计</w:t>
      </w:r>
      <w:bookmarkEnd w:id="34"/>
      <w:bookmarkEnd w:id="35"/>
      <w:r>
        <w:rPr>
          <w:rFonts w:hint="eastAsia" w:ascii="黑体" w:hAnsi="黑体" w:eastAsia="黑体" w:cs="Arial"/>
          <w:b/>
          <w:bCs/>
          <w:sz w:val="30"/>
          <w:szCs w:val="30"/>
        </w:rPr>
        <w:t xml:space="preserve">  </w:t>
      </w:r>
    </w:p>
    <w:p>
      <w:pPr>
        <w:widowControl/>
        <w:numPr>
          <w:ilvl w:val="0"/>
          <w:numId w:val="0"/>
        </w:numPr>
        <w:adjustRightInd w:val="0"/>
        <w:snapToGrid w:val="0"/>
        <w:spacing w:before="100" w:beforeAutospacing="1" w:after="100" w:afterAutospacing="1" w:line="560" w:lineRule="exact"/>
        <w:ind w:firstLine="560" w:firstLineChars="200"/>
        <w:jc w:val="left"/>
        <w:rPr>
          <w:rFonts w:hint="eastAsia"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通过对职业岗位（群）和素质、知识、能力结构的调查分析，结合学生的认知特点以及新能源汽车从业低压电工操作资格标准，以新能源汽车三纵（纯电动汽车、混合动力电动汽车、燃料电池汽车）三横（电池及管理系统、电机及控制系统、动力总成控制系统）为依据，安全用电及防护为关键，将课程内容项目化、情境化实施教学。</w:t>
      </w:r>
    </w:p>
    <w:p>
      <w:pPr>
        <w:widowControl/>
        <w:adjustRightInd w:val="0"/>
        <w:snapToGrid w:val="0"/>
        <w:spacing w:before="100" w:beforeAutospacing="1" w:after="100" w:afterAutospacing="1" w:line="560" w:lineRule="exact"/>
        <w:ind w:firstLine="482"/>
        <w:jc w:val="left"/>
        <w:outlineLvl w:val="0"/>
        <w:rPr>
          <w:rFonts w:ascii="黑体" w:hAnsi="黑体" w:eastAsia="黑体" w:cs="Arial"/>
          <w:b/>
          <w:bCs/>
          <w:sz w:val="30"/>
          <w:szCs w:val="30"/>
        </w:rPr>
      </w:pPr>
      <w:bookmarkStart w:id="36" w:name="_Toc16106"/>
      <w:bookmarkStart w:id="37" w:name="_Toc25027"/>
      <w:r>
        <w:rPr>
          <w:rFonts w:hint="eastAsia" w:ascii="黑体" w:hAnsi="黑体" w:eastAsia="黑体" w:cs="Arial"/>
          <w:b/>
          <w:bCs/>
          <w:sz w:val="30"/>
          <w:szCs w:val="30"/>
        </w:rPr>
        <w:t>四、课程目标</w:t>
      </w:r>
      <w:bookmarkEnd w:id="36"/>
      <w:bookmarkEnd w:id="37"/>
    </w:p>
    <w:p>
      <w:pPr>
        <w:widowControl/>
        <w:spacing w:before="100" w:beforeAutospacing="1" w:after="100" w:afterAutospacing="1" w:line="400" w:lineRule="exact"/>
        <w:ind w:firstLine="482"/>
        <w:jc w:val="left"/>
        <w:outlineLvl w:val="1"/>
        <w:rPr>
          <w:rFonts w:hint="eastAsia" w:ascii="仿宋" w:hAnsi="仿宋" w:eastAsia="仿宋" w:cs="Arial"/>
          <w:b/>
          <w:bCs/>
          <w:sz w:val="30"/>
          <w:szCs w:val="30"/>
        </w:rPr>
      </w:pPr>
      <w:bookmarkStart w:id="38" w:name="_Toc22521"/>
      <w:r>
        <w:rPr>
          <w:rFonts w:hint="eastAsia" w:ascii="仿宋" w:hAnsi="仿宋" w:eastAsia="仿宋" w:cs="Arial"/>
          <w:b/>
          <w:bCs/>
          <w:sz w:val="30"/>
          <w:szCs w:val="30"/>
        </w:rPr>
        <w:t>（一）总体目标</w:t>
      </w:r>
      <w:bookmarkEnd w:id="38"/>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通过本课程的学习，使学生能将新能源汽车与传统燃油车区分，能做到安全用电，能对新能源汽车结构、分类及工作原理有全面的认识与掌握。</w:t>
      </w:r>
    </w:p>
    <w:p>
      <w:pPr>
        <w:widowControl/>
        <w:spacing w:before="100" w:beforeAutospacing="1" w:after="100" w:afterAutospacing="1" w:line="400" w:lineRule="exact"/>
        <w:ind w:firstLine="482"/>
        <w:jc w:val="left"/>
        <w:outlineLvl w:val="1"/>
        <w:rPr>
          <w:rFonts w:ascii="仿宋" w:hAnsi="仿宋" w:eastAsia="仿宋" w:cs="Arial"/>
          <w:b/>
          <w:bCs/>
          <w:sz w:val="30"/>
          <w:szCs w:val="30"/>
        </w:rPr>
      </w:pPr>
      <w:bookmarkStart w:id="39" w:name="_Toc25173"/>
      <w:r>
        <w:rPr>
          <w:rFonts w:hint="eastAsia" w:ascii="仿宋" w:hAnsi="仿宋" w:eastAsia="仿宋" w:cs="Arial"/>
          <w:b/>
          <w:bCs/>
          <w:sz w:val="30"/>
          <w:szCs w:val="30"/>
        </w:rPr>
        <w:t>（二）具体目标</w:t>
      </w:r>
      <w:bookmarkEnd w:id="39"/>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eastAsia" w:ascii="仿宋_GB2312" w:hAnsi="仿宋_GB2312" w:eastAsia="仿宋_GB2312" w:cs="仿宋_GB2312"/>
          <w:b/>
          <w:bCs/>
          <w:i w:val="0"/>
          <w:iCs w:val="0"/>
          <w:caps w:val="0"/>
          <w:color w:val="1B1B1B"/>
          <w:spacing w:val="0"/>
          <w:sz w:val="28"/>
          <w:szCs w:val="28"/>
          <w:shd w:val="clear" w:color="auto" w:fill="FAFAFA"/>
        </w:rPr>
      </w:pPr>
      <w:r>
        <w:rPr>
          <w:rFonts w:hint="eastAsia" w:ascii="仿宋_GB2312" w:hAnsi="仿宋_GB2312" w:eastAsia="仿宋_GB2312" w:cs="仿宋_GB2312"/>
          <w:b/>
          <w:bCs/>
          <w:i w:val="0"/>
          <w:iCs w:val="0"/>
          <w:caps w:val="0"/>
          <w:color w:val="1B1B1B"/>
          <w:spacing w:val="0"/>
          <w:sz w:val="28"/>
          <w:szCs w:val="28"/>
          <w:shd w:val="clear" w:color="auto" w:fill="FAFAFA"/>
        </w:rPr>
        <w:t>1.知识目标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（1）了解新能源汽车发展概述；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（2）掌握纯电动汽车结构、工作原理及常见车型；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（3）掌握混合动力汽车结构、工作原理及常见车型；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（4）掌握燃料电池电动汽车结构、工作原理及常见车型；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（5）了解其它新能源汽车分类及结构；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eastAsia"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（6）掌握新能源汽车的使用与维护，安全用电常识。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eastAsia" w:ascii="仿宋_GB2312" w:hAnsi="仿宋_GB2312" w:eastAsia="仿宋_GB2312" w:cs="仿宋_GB2312"/>
          <w:b/>
          <w:bCs/>
          <w:i w:val="0"/>
          <w:iCs w:val="0"/>
          <w:caps w:val="0"/>
          <w:color w:val="1B1B1B"/>
          <w:spacing w:val="0"/>
          <w:sz w:val="28"/>
          <w:szCs w:val="28"/>
          <w:shd w:val="clear" w:color="auto" w:fill="FAFAFA"/>
        </w:rPr>
      </w:pPr>
      <w:r>
        <w:rPr>
          <w:rFonts w:hint="eastAsia" w:ascii="仿宋_GB2312" w:hAnsi="仿宋_GB2312" w:eastAsia="仿宋_GB2312" w:cs="仿宋_GB2312"/>
          <w:b/>
          <w:bCs/>
          <w:i w:val="0"/>
          <w:iCs w:val="0"/>
          <w:caps w:val="0"/>
          <w:color w:val="1B1B1B"/>
          <w:spacing w:val="0"/>
          <w:sz w:val="28"/>
          <w:szCs w:val="28"/>
          <w:shd w:val="clear" w:color="auto" w:fill="FAFAFA"/>
        </w:rPr>
        <w:t>2.能力目标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（1）具有较好的学习新知识、新技术和技能的能力；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（2）具有解决问题的方法能力和制定工作计划的能力；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（3）具有查找维修资料和获取信息的能力；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（4）具备总结、积累维修经验从个案中寻找共性和规律的能力；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（5）具备能优化工作过程节约时间，降低成本的能力；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（6）具备安全用电的能力；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eastAsia"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 （7）具备根据故障现象进行故障诊断和分析，并能正确选择检测设备和仪器对电控系统零部件进行检测和排除故障的能力。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eastAsia"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3.素质目标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（1）具有良好的思想品德修养和职业道德素养；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（2）具各较强的语言表达能力、组织协调能力和人际沟通能力；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（3）能进行自我检讨，诚恳接受他人的批评；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（4）具有良好的心理素质和较强的自控能力，具有较强的社会、环境适应能力；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（5）具有强烈的责任感、良好的团队合作精神和客户服务意识；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（6）具有一定的人文社会科学知识、具有良好的文化基础和修养；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eastAsia" w:ascii="仿宋_GB2312" w:hAnsi="仿宋_GB2312" w:eastAsia="仿宋_GB2312" w:cs="仿宋_GB2312"/>
          <w:i w:val="0"/>
          <w:iCs w:val="0"/>
          <w:caps w:val="0"/>
          <w:color w:val="1B1B1B"/>
          <w:spacing w:val="0"/>
          <w:sz w:val="28"/>
          <w:szCs w:val="28"/>
          <w:shd w:val="clear" w:color="auto" w:fill="FAFAFA"/>
          <w:lang w:eastAsia="zh-CN"/>
        </w:rPr>
      </w:pPr>
      <w:r>
        <w:rPr>
          <w:rFonts w:hint="eastAsia" w:ascii="仿宋_GB2312" w:hAnsi="仿宋_GB2312" w:eastAsia="仿宋_GB2312" w:cs="仿宋_GB2312"/>
          <w:i w:val="0"/>
          <w:iCs w:val="0"/>
          <w:caps w:val="0"/>
          <w:color w:val="1B1B1B"/>
          <w:spacing w:val="0"/>
          <w:sz w:val="28"/>
          <w:szCs w:val="28"/>
          <w:shd w:val="clear" w:color="auto" w:fill="FAFAFA"/>
        </w:rPr>
        <w:t>（7）身心健康。具有乐观、向上、宽容的态度，具备承受挫折、百折不挠的精神</w:t>
      </w:r>
      <w:r>
        <w:rPr>
          <w:rFonts w:hint="eastAsia" w:ascii="仿宋_GB2312" w:hAnsi="仿宋_GB2312" w:eastAsia="仿宋_GB2312" w:cs="仿宋_GB2312"/>
          <w:i w:val="0"/>
          <w:iCs w:val="0"/>
          <w:caps w:val="0"/>
          <w:color w:val="1B1B1B"/>
          <w:spacing w:val="0"/>
          <w:sz w:val="28"/>
          <w:szCs w:val="28"/>
          <w:shd w:val="clear" w:color="auto" w:fill="FAFAFA"/>
          <w:lang w:eastAsia="zh-CN"/>
        </w:rPr>
        <w:t>。</w:t>
      </w:r>
    </w:p>
    <w:p>
      <w:pPr>
        <w:widowControl/>
        <w:adjustRightInd w:val="0"/>
        <w:snapToGrid w:val="0"/>
        <w:spacing w:before="100" w:beforeAutospacing="1" w:after="100" w:afterAutospacing="1" w:line="560" w:lineRule="exact"/>
        <w:ind w:firstLine="482"/>
        <w:jc w:val="left"/>
        <w:outlineLvl w:val="0"/>
        <w:rPr>
          <w:rFonts w:ascii="黑体" w:hAnsi="黑体" w:eastAsia="黑体" w:cs="Arial"/>
          <w:b/>
          <w:bCs/>
          <w:sz w:val="30"/>
          <w:szCs w:val="30"/>
        </w:rPr>
      </w:pPr>
      <w:bookmarkStart w:id="40" w:name="_Toc1877"/>
      <w:bookmarkStart w:id="41" w:name="_Toc6599"/>
      <w:r>
        <w:rPr>
          <w:rFonts w:hint="eastAsia" w:ascii="黑体" w:hAnsi="黑体" w:eastAsia="黑体" w:cs="Arial"/>
          <w:b/>
          <w:bCs/>
          <w:sz w:val="30"/>
          <w:szCs w:val="30"/>
        </w:rPr>
        <w:t>五、课程主要内容和学时分配</w:t>
      </w:r>
      <w:bookmarkEnd w:id="40"/>
      <w:bookmarkEnd w:id="41"/>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根据企业工作岗位对知识、技能、素质的要求，将本课程的教学内容划分为</w:t>
      </w:r>
      <w:r>
        <w:rPr>
          <w:rFonts w:hint="eastAsia" w:ascii="仿宋_GB2312" w:hAnsi="仿宋_GB2312" w:eastAsia="仿宋_GB2312" w:cs="仿宋_GB2312"/>
          <w:i w:val="0"/>
          <w:iCs w:val="0"/>
          <w:caps w:val="0"/>
          <w:color w:val="1B1B1B"/>
          <w:spacing w:val="0"/>
          <w:sz w:val="28"/>
          <w:szCs w:val="28"/>
          <w:shd w:val="clear" w:color="auto" w:fill="FAFAFA"/>
          <w:lang w:val="en-US" w:eastAsia="zh-CN"/>
        </w:rPr>
        <w:t>7</w:t>
      </w:r>
      <w:r>
        <w:rPr>
          <w:rFonts w:hint="eastAsia" w:ascii="仿宋_GB2312" w:hAnsi="仿宋_GB2312" w:eastAsia="仿宋_GB2312" w:cs="仿宋_GB2312"/>
          <w:i w:val="0"/>
          <w:iCs w:val="0"/>
          <w:caps w:val="0"/>
          <w:color w:val="1B1B1B"/>
          <w:spacing w:val="0"/>
          <w:sz w:val="28"/>
          <w:szCs w:val="28"/>
          <w:shd w:val="clear" w:color="auto" w:fill="FAFAFA"/>
        </w:rPr>
        <w:t>个项目教学任务，课程结构与课时分配如表1所示：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center"/>
        <w:textAlignment w:val="auto"/>
        <w:outlineLvl w:val="1"/>
        <w:rPr>
          <w:rFonts w:hint="eastAsia" w:ascii="仿宋_GB2312" w:hAnsi="仿宋_GB2312" w:eastAsia="仿宋_GB2312" w:cs="仿宋_GB2312"/>
          <w:b/>
          <w:bCs/>
          <w:i w:val="0"/>
          <w:iCs w:val="0"/>
          <w:caps w:val="0"/>
          <w:color w:val="1B1B1B"/>
          <w:spacing w:val="0"/>
          <w:sz w:val="28"/>
          <w:szCs w:val="28"/>
          <w:shd w:val="clear" w:color="auto" w:fill="FAFAFA"/>
        </w:rPr>
      </w:pPr>
      <w:bookmarkStart w:id="42" w:name="_Toc15883"/>
      <w:r>
        <w:rPr>
          <w:rFonts w:hint="eastAsia" w:ascii="仿宋_GB2312" w:hAnsi="仿宋_GB2312" w:eastAsia="仿宋_GB2312" w:cs="仿宋_GB2312"/>
          <w:b/>
          <w:bCs/>
          <w:i w:val="0"/>
          <w:iCs w:val="0"/>
          <w:caps w:val="0"/>
          <w:color w:val="1B1B1B"/>
          <w:spacing w:val="0"/>
          <w:sz w:val="28"/>
          <w:szCs w:val="28"/>
          <w:shd w:val="clear" w:color="auto" w:fill="FAFAFA"/>
        </w:rPr>
        <w:t>表</w:t>
      </w:r>
      <w:r>
        <w:rPr>
          <w:rFonts w:hint="eastAsia" w:ascii="仿宋_GB2312" w:hAnsi="仿宋_GB2312" w:eastAsia="仿宋_GB2312" w:cs="仿宋_GB2312"/>
          <w:b/>
          <w:bCs/>
          <w:i w:val="0"/>
          <w:iCs w:val="0"/>
          <w:caps w:val="0"/>
          <w:color w:val="1B1B1B"/>
          <w:spacing w:val="0"/>
          <w:sz w:val="28"/>
          <w:szCs w:val="28"/>
          <w:shd w:val="clear" w:color="auto" w:fill="FAFAFA"/>
          <w:lang w:eastAsia="zh-CN"/>
        </w:rPr>
        <w:t>一</w:t>
      </w:r>
      <w:r>
        <w:rPr>
          <w:rFonts w:hint="eastAsia" w:ascii="仿宋_GB2312" w:hAnsi="仿宋_GB2312" w:eastAsia="仿宋_GB2312" w:cs="仿宋_GB2312"/>
          <w:b/>
          <w:bCs/>
          <w:i w:val="0"/>
          <w:iCs w:val="0"/>
          <w:caps w:val="0"/>
          <w:color w:val="1B1B1B"/>
          <w:spacing w:val="0"/>
          <w:sz w:val="28"/>
          <w:szCs w:val="28"/>
          <w:shd w:val="clear" w:color="auto" w:fill="FAFAFA"/>
          <w:lang w:val="en-US" w:eastAsia="zh-CN"/>
        </w:rPr>
        <w:t xml:space="preserve"> </w:t>
      </w:r>
      <w:r>
        <w:rPr>
          <w:rFonts w:hint="eastAsia" w:ascii="仿宋_GB2312" w:hAnsi="仿宋_GB2312" w:eastAsia="仿宋_GB2312" w:cs="仿宋_GB2312"/>
          <w:b/>
          <w:bCs/>
          <w:i w:val="0"/>
          <w:iCs w:val="0"/>
          <w:caps w:val="0"/>
          <w:color w:val="1B1B1B"/>
          <w:spacing w:val="0"/>
          <w:sz w:val="28"/>
          <w:szCs w:val="28"/>
          <w:shd w:val="clear" w:color="auto" w:fill="FAFAFA"/>
        </w:rPr>
        <w:t>课程内容与学时分配表</w:t>
      </w:r>
      <w:bookmarkEnd w:id="42"/>
    </w:p>
    <w:tbl>
      <w:tblPr>
        <w:tblStyle w:val="7"/>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Layout w:type="fixed"/>
        <w:tblCellMar>
          <w:top w:w="15" w:type="dxa"/>
          <w:left w:w="15" w:type="dxa"/>
          <w:bottom w:w="15" w:type="dxa"/>
          <w:right w:w="15" w:type="dxa"/>
        </w:tblCellMar>
      </w:tblPr>
      <w:tblGrid>
        <w:gridCol w:w="826"/>
        <w:gridCol w:w="1301"/>
        <w:gridCol w:w="3930"/>
        <w:gridCol w:w="2310"/>
        <w:gridCol w:w="7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826" w:type="dxa"/>
            <w:tcBorders>
              <w:top w:val="single" w:color="auto" w:sz="8" w:space="0"/>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序号</w:t>
            </w:r>
          </w:p>
        </w:tc>
        <w:tc>
          <w:tcPr>
            <w:tcW w:w="1301" w:type="dxa"/>
            <w:tcBorders>
              <w:top w:val="single" w:color="auto" w:sz="8" w:space="0"/>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教学项目</w:t>
            </w:r>
          </w:p>
        </w:tc>
        <w:tc>
          <w:tcPr>
            <w:tcW w:w="3930" w:type="dxa"/>
            <w:tcBorders>
              <w:top w:val="single" w:color="auto" w:sz="8" w:space="0"/>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教学内容</w:t>
            </w:r>
          </w:p>
        </w:tc>
        <w:tc>
          <w:tcPr>
            <w:tcW w:w="2310" w:type="dxa"/>
            <w:tcBorders>
              <w:top w:val="single" w:color="auto" w:sz="8" w:space="0"/>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能力培养对应的实验与实训项目序号</w:t>
            </w:r>
          </w:p>
        </w:tc>
        <w:tc>
          <w:tcPr>
            <w:tcW w:w="750" w:type="dxa"/>
            <w:tcBorders>
              <w:top w:val="single" w:color="auto" w:sz="8" w:space="0"/>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参考学时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826" w:type="dxa"/>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1</w:t>
            </w:r>
          </w:p>
        </w:tc>
        <w:tc>
          <w:tcPr>
            <w:tcW w:w="1301"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项目一：新能源汽车概况</w:t>
            </w:r>
          </w:p>
        </w:tc>
        <w:tc>
          <w:tcPr>
            <w:tcW w:w="393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1</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 xml:space="preserve"> 新能源汽车认知；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2</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新能源汽车发展的必要性认知；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3</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新能源汽车发展趋势认知。</w:t>
            </w:r>
          </w:p>
        </w:tc>
        <w:tc>
          <w:tcPr>
            <w:tcW w:w="231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lang w:eastAsia="zh-CN"/>
              </w:rPr>
              <w:t>实践</w:t>
            </w:r>
            <w:r>
              <w:rPr>
                <w:rFonts w:hint="eastAsia" w:ascii="仿宋_GB2312" w:hAnsi="仿宋_GB2312" w:eastAsia="仿宋_GB2312" w:cs="仿宋_GB2312"/>
                <w:i w:val="0"/>
                <w:iCs w:val="0"/>
                <w:caps w:val="0"/>
                <w:color w:val="1B1B1B"/>
                <w:spacing w:val="0"/>
                <w:sz w:val="24"/>
                <w:szCs w:val="24"/>
              </w:rPr>
              <w:t>一：新能源车识别</w:t>
            </w:r>
          </w:p>
        </w:tc>
        <w:tc>
          <w:tcPr>
            <w:tcW w:w="7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826" w:type="dxa"/>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2</w:t>
            </w:r>
          </w:p>
        </w:tc>
        <w:tc>
          <w:tcPr>
            <w:tcW w:w="1301"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项目二：纯电动汽车</w:t>
            </w:r>
          </w:p>
        </w:tc>
        <w:tc>
          <w:tcPr>
            <w:tcW w:w="393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1</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纯电动汽车的类型；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2</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纯电动汽车的结构及原理；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3</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纯电动汽车驱动系统布置形式；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4</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纯电动汽车的特点；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5</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纯电动汽车车型性能分析。</w:t>
            </w:r>
          </w:p>
        </w:tc>
        <w:tc>
          <w:tcPr>
            <w:tcW w:w="231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lang w:eastAsia="zh-CN"/>
              </w:rPr>
              <w:t>实践</w:t>
            </w:r>
            <w:r>
              <w:rPr>
                <w:rFonts w:hint="eastAsia" w:ascii="仿宋_GB2312" w:hAnsi="仿宋_GB2312" w:eastAsia="仿宋_GB2312" w:cs="仿宋_GB2312"/>
                <w:i w:val="0"/>
                <w:iCs w:val="0"/>
                <w:caps w:val="0"/>
                <w:color w:val="1B1B1B"/>
                <w:spacing w:val="0"/>
                <w:sz w:val="24"/>
                <w:szCs w:val="24"/>
              </w:rPr>
              <w:t>二：纯电动汽车结构认识</w:t>
            </w:r>
          </w:p>
        </w:tc>
        <w:tc>
          <w:tcPr>
            <w:tcW w:w="7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826" w:type="dxa"/>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3</w:t>
            </w:r>
          </w:p>
        </w:tc>
        <w:tc>
          <w:tcPr>
            <w:tcW w:w="1301"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项目三：混合动力汽车</w:t>
            </w:r>
          </w:p>
        </w:tc>
        <w:tc>
          <w:tcPr>
            <w:tcW w:w="393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1</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混合动力电动汽车的定义与分类；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2</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混合动力电动汽车的结构及原理；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3</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混合动力电动汽车的特点；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4</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混合动力电动汽车车型性能分析。</w:t>
            </w:r>
          </w:p>
        </w:tc>
        <w:tc>
          <w:tcPr>
            <w:tcW w:w="231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lang w:eastAsia="zh-CN"/>
              </w:rPr>
              <w:t>实践</w:t>
            </w:r>
            <w:r>
              <w:rPr>
                <w:rFonts w:hint="eastAsia" w:ascii="仿宋_GB2312" w:hAnsi="仿宋_GB2312" w:eastAsia="仿宋_GB2312" w:cs="仿宋_GB2312"/>
                <w:i w:val="0"/>
                <w:iCs w:val="0"/>
                <w:caps w:val="0"/>
                <w:color w:val="1B1B1B"/>
                <w:spacing w:val="0"/>
                <w:sz w:val="24"/>
                <w:szCs w:val="24"/>
              </w:rPr>
              <w:t>三：混合动力汽车结构认识</w:t>
            </w:r>
          </w:p>
        </w:tc>
        <w:tc>
          <w:tcPr>
            <w:tcW w:w="7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826" w:type="dxa"/>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4</w:t>
            </w:r>
          </w:p>
        </w:tc>
        <w:tc>
          <w:tcPr>
            <w:tcW w:w="1301"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项目四：燃料电池电动汽车及其他新能源汽车</w:t>
            </w:r>
          </w:p>
        </w:tc>
        <w:tc>
          <w:tcPr>
            <w:tcW w:w="393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1</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燃料电池电动汽车的类型；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2</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燃料电池电动汽车结构及特点；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3</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太阳能汽车的结构；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4</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替代燃料汽车结构；</w:t>
            </w:r>
          </w:p>
        </w:tc>
        <w:tc>
          <w:tcPr>
            <w:tcW w:w="231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 </w:t>
            </w:r>
          </w:p>
        </w:tc>
        <w:tc>
          <w:tcPr>
            <w:tcW w:w="7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826" w:type="dxa"/>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5</w:t>
            </w:r>
          </w:p>
        </w:tc>
        <w:tc>
          <w:tcPr>
            <w:tcW w:w="1301"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项目五：动力电池及充电技术</w:t>
            </w:r>
          </w:p>
        </w:tc>
        <w:tc>
          <w:tcPr>
            <w:tcW w:w="393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1</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电池基础知识；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2</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蓄电池；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3</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燃料电池；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4</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飞轮电池；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5</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电池管理系统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6</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充电桩的维护及充电技术</w:t>
            </w:r>
          </w:p>
        </w:tc>
        <w:tc>
          <w:tcPr>
            <w:tcW w:w="231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lang w:eastAsia="zh-CN"/>
              </w:rPr>
              <w:t>实践</w:t>
            </w:r>
            <w:r>
              <w:rPr>
                <w:rFonts w:hint="eastAsia" w:ascii="仿宋_GB2312" w:hAnsi="仿宋_GB2312" w:eastAsia="仿宋_GB2312" w:cs="仿宋_GB2312"/>
                <w:i w:val="0"/>
                <w:iCs w:val="0"/>
                <w:caps w:val="0"/>
                <w:color w:val="1B1B1B"/>
                <w:spacing w:val="0"/>
                <w:sz w:val="24"/>
                <w:szCs w:val="24"/>
              </w:rPr>
              <w:t>四：动力电池维护</w:t>
            </w:r>
          </w:p>
        </w:tc>
        <w:tc>
          <w:tcPr>
            <w:tcW w:w="7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826" w:type="dxa"/>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6</w:t>
            </w:r>
          </w:p>
        </w:tc>
        <w:tc>
          <w:tcPr>
            <w:tcW w:w="1301"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项目六：电机及控制技术</w:t>
            </w:r>
          </w:p>
        </w:tc>
        <w:tc>
          <w:tcPr>
            <w:tcW w:w="393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1</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直流电动机；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2</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永磁同步电动机；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3</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三相异步电动机；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4</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开关磁阻电机；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5</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电机功率控制器。</w:t>
            </w:r>
          </w:p>
        </w:tc>
        <w:tc>
          <w:tcPr>
            <w:tcW w:w="231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lang w:eastAsia="zh-CN"/>
              </w:rPr>
              <w:t>实践</w:t>
            </w:r>
            <w:r>
              <w:rPr>
                <w:rFonts w:hint="eastAsia" w:ascii="仿宋_GB2312" w:hAnsi="仿宋_GB2312" w:eastAsia="仿宋_GB2312" w:cs="仿宋_GB2312"/>
                <w:i w:val="0"/>
                <w:iCs w:val="0"/>
                <w:caps w:val="0"/>
                <w:color w:val="1B1B1B"/>
                <w:spacing w:val="0"/>
                <w:sz w:val="24"/>
                <w:szCs w:val="24"/>
              </w:rPr>
              <w:t>五：电机控制电路连接及检测</w:t>
            </w:r>
          </w:p>
        </w:tc>
        <w:tc>
          <w:tcPr>
            <w:tcW w:w="7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26" w:type="dxa"/>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7</w:t>
            </w:r>
          </w:p>
        </w:tc>
        <w:tc>
          <w:tcPr>
            <w:tcW w:w="1301"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项目七：新能源汽车高压安全与防护</w:t>
            </w:r>
          </w:p>
        </w:tc>
        <w:tc>
          <w:tcPr>
            <w:tcW w:w="393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1</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新能源汽车高压安全；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2</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新能源汽车安全防护；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3</w:t>
            </w:r>
            <w:r>
              <w:rPr>
                <w:rFonts w:hint="eastAsia" w:ascii="仿宋_GB2312" w:hAnsi="仿宋_GB2312" w:eastAsia="仿宋_GB2312" w:cs="仿宋_GB2312"/>
                <w:i w:val="0"/>
                <w:iCs w:val="0"/>
                <w:caps w:val="0"/>
                <w:color w:val="1B1B1B"/>
                <w:spacing w:val="0"/>
                <w:sz w:val="24"/>
                <w:szCs w:val="24"/>
                <w:lang w:eastAsia="zh-CN"/>
              </w:rPr>
              <w:t>.</w:t>
            </w:r>
            <w:r>
              <w:rPr>
                <w:rFonts w:hint="eastAsia" w:ascii="仿宋_GB2312" w:hAnsi="仿宋_GB2312" w:eastAsia="仿宋_GB2312" w:cs="仿宋_GB2312"/>
                <w:i w:val="0"/>
                <w:iCs w:val="0"/>
                <w:caps w:val="0"/>
                <w:color w:val="1B1B1B"/>
                <w:spacing w:val="0"/>
                <w:sz w:val="24"/>
                <w:szCs w:val="24"/>
              </w:rPr>
              <w:t>电动汽车充电技术</w:t>
            </w:r>
          </w:p>
        </w:tc>
        <w:tc>
          <w:tcPr>
            <w:tcW w:w="231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lang w:eastAsia="zh-CN"/>
              </w:rPr>
              <w:t>实践</w:t>
            </w:r>
            <w:r>
              <w:rPr>
                <w:rFonts w:hint="eastAsia" w:ascii="仿宋_GB2312" w:hAnsi="仿宋_GB2312" w:eastAsia="仿宋_GB2312" w:cs="仿宋_GB2312"/>
                <w:i w:val="0"/>
                <w:iCs w:val="0"/>
                <w:caps w:val="0"/>
                <w:color w:val="1B1B1B"/>
                <w:spacing w:val="0"/>
                <w:sz w:val="24"/>
                <w:szCs w:val="24"/>
              </w:rPr>
              <w:t>六：电动汽车充电及维护</w:t>
            </w:r>
          </w:p>
        </w:tc>
        <w:tc>
          <w:tcPr>
            <w:tcW w:w="7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8367" w:type="dxa"/>
            <w:gridSpan w:val="4"/>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合计</w:t>
            </w:r>
          </w:p>
        </w:tc>
        <w:tc>
          <w:tcPr>
            <w:tcW w:w="7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1B1B1B"/>
                <w:spacing w:val="0"/>
                <w:sz w:val="24"/>
                <w:szCs w:val="24"/>
              </w:rPr>
              <w:t>40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center"/>
        <w:textAlignment w:val="auto"/>
        <w:rPr>
          <w:rFonts w:hint="eastAsia" w:ascii="仿宋_GB2312" w:hAnsi="仿宋_GB2312" w:eastAsia="仿宋_GB2312" w:cs="仿宋_GB2312"/>
          <w:b/>
          <w:bCs/>
          <w:i w:val="0"/>
          <w:iCs w:val="0"/>
          <w:caps w:val="0"/>
          <w:color w:val="1B1B1B"/>
          <w:spacing w:val="0"/>
          <w:sz w:val="28"/>
          <w:szCs w:val="28"/>
          <w:shd w:val="clear" w:color="auto" w:fill="FAFAFA"/>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center"/>
        <w:textAlignment w:val="auto"/>
        <w:outlineLvl w:val="1"/>
        <w:rPr>
          <w:rFonts w:hint="eastAsia" w:ascii="仿宋_GB2312" w:hAnsi="仿宋_GB2312" w:eastAsia="仿宋_GB2312" w:cs="仿宋_GB2312"/>
          <w:i w:val="0"/>
          <w:iCs w:val="0"/>
          <w:caps w:val="0"/>
          <w:color w:val="1B1B1B"/>
          <w:spacing w:val="0"/>
          <w:sz w:val="28"/>
          <w:szCs w:val="28"/>
          <w:shd w:val="clear" w:color="auto" w:fill="FAFAFA"/>
          <w:lang w:eastAsia="zh-CN"/>
        </w:rPr>
      </w:pPr>
      <w:bookmarkStart w:id="43" w:name="_Toc4857"/>
      <w:r>
        <w:rPr>
          <w:rFonts w:hint="eastAsia" w:ascii="仿宋_GB2312" w:hAnsi="仿宋_GB2312" w:eastAsia="仿宋_GB2312" w:cs="仿宋_GB2312"/>
          <w:b/>
          <w:bCs/>
          <w:i w:val="0"/>
          <w:iCs w:val="0"/>
          <w:caps w:val="0"/>
          <w:color w:val="1B1B1B"/>
          <w:spacing w:val="0"/>
          <w:sz w:val="28"/>
          <w:szCs w:val="28"/>
          <w:shd w:val="clear" w:color="auto" w:fill="FAFAFA"/>
          <w:lang w:eastAsia="zh-CN"/>
        </w:rPr>
        <w:t>表二</w:t>
      </w:r>
      <w:r>
        <w:rPr>
          <w:rFonts w:hint="eastAsia" w:ascii="仿宋_GB2312" w:hAnsi="仿宋_GB2312" w:eastAsia="仿宋_GB2312" w:cs="仿宋_GB2312"/>
          <w:b/>
          <w:bCs/>
          <w:i w:val="0"/>
          <w:iCs w:val="0"/>
          <w:caps w:val="0"/>
          <w:color w:val="1B1B1B"/>
          <w:spacing w:val="0"/>
          <w:sz w:val="28"/>
          <w:szCs w:val="28"/>
          <w:shd w:val="clear" w:color="auto" w:fill="FAFAFA"/>
          <w:lang w:val="en-US" w:eastAsia="zh-CN"/>
        </w:rPr>
        <w:t xml:space="preserve"> </w:t>
      </w:r>
      <w:r>
        <w:rPr>
          <w:rFonts w:hint="eastAsia" w:ascii="仿宋_GB2312" w:hAnsi="仿宋_GB2312" w:eastAsia="仿宋_GB2312" w:cs="仿宋_GB2312"/>
          <w:b/>
          <w:bCs/>
          <w:i w:val="0"/>
          <w:iCs w:val="0"/>
          <w:caps w:val="0"/>
          <w:color w:val="1B1B1B"/>
          <w:spacing w:val="0"/>
          <w:sz w:val="28"/>
          <w:szCs w:val="28"/>
          <w:shd w:val="clear" w:color="auto" w:fill="FAFAFA"/>
        </w:rPr>
        <w:t>实践教学设计</w:t>
      </w:r>
      <w:bookmarkEnd w:id="43"/>
    </w:p>
    <w:tbl>
      <w:tblPr>
        <w:tblStyle w:val="7"/>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Layout w:type="autofit"/>
        <w:tblCellMar>
          <w:top w:w="15" w:type="dxa"/>
          <w:left w:w="15" w:type="dxa"/>
          <w:bottom w:w="15" w:type="dxa"/>
          <w:right w:w="15" w:type="dxa"/>
        </w:tblCellMar>
      </w:tblPr>
      <w:tblGrid>
        <w:gridCol w:w="707"/>
        <w:gridCol w:w="1393"/>
        <w:gridCol w:w="2830"/>
        <w:gridCol w:w="2911"/>
        <w:gridCol w:w="6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734" w:type="dxa"/>
            <w:tcBorders>
              <w:top w:val="single" w:color="auto" w:sz="8" w:space="0"/>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序号</w:t>
            </w:r>
          </w:p>
        </w:tc>
        <w:tc>
          <w:tcPr>
            <w:tcW w:w="1468" w:type="dxa"/>
            <w:tcBorders>
              <w:top w:val="single" w:color="auto" w:sz="8" w:space="0"/>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项目名称</w:t>
            </w:r>
          </w:p>
        </w:tc>
        <w:tc>
          <w:tcPr>
            <w:tcW w:w="3060" w:type="dxa"/>
            <w:tcBorders>
              <w:top w:val="single" w:color="auto" w:sz="8" w:space="0"/>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项目描述</w:t>
            </w:r>
          </w:p>
        </w:tc>
        <w:tc>
          <w:tcPr>
            <w:tcW w:w="3150" w:type="dxa"/>
            <w:tcBorders>
              <w:top w:val="single" w:color="auto" w:sz="8" w:space="0"/>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能力目标</w:t>
            </w:r>
          </w:p>
        </w:tc>
        <w:tc>
          <w:tcPr>
            <w:tcW w:w="705" w:type="dxa"/>
            <w:tcBorders>
              <w:top w:val="single" w:color="auto" w:sz="8" w:space="0"/>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学时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734" w:type="dxa"/>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1</w:t>
            </w:r>
          </w:p>
        </w:tc>
        <w:tc>
          <w:tcPr>
            <w:tcW w:w="1468"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实验一：新能源车识别</w:t>
            </w:r>
          </w:p>
        </w:tc>
        <w:tc>
          <w:tcPr>
            <w:tcW w:w="306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通过调查、上网查询资料等方式，调查当今社会使用的新能源汽车的类型、用途和使用时间等。</w:t>
            </w:r>
          </w:p>
        </w:tc>
        <w:tc>
          <w:tcPr>
            <w:tcW w:w="31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1.能够根据调查的数据分析出新能源汽车应用的社会意义、开始应用的时间及其广阔的发展前景。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2.能区别传统燃油车与新能源车；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3.能区别纯电动汽车与混合动力汽车。</w:t>
            </w:r>
          </w:p>
        </w:tc>
        <w:tc>
          <w:tcPr>
            <w:tcW w:w="705"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734" w:type="dxa"/>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2</w:t>
            </w:r>
          </w:p>
        </w:tc>
        <w:tc>
          <w:tcPr>
            <w:tcW w:w="1468"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实验二：纯电动汽车结构认识</w:t>
            </w:r>
          </w:p>
        </w:tc>
        <w:tc>
          <w:tcPr>
            <w:tcW w:w="306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上网查询资料、观看教学视频、参观实物等方式，了解电动汽车的使用种类、整体结构组成以及其基本工作原理。</w:t>
            </w:r>
          </w:p>
        </w:tc>
        <w:tc>
          <w:tcPr>
            <w:tcW w:w="31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1.识别纯电动汽车区别于传统燃油车的几大部件。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2.能说出各部件的工作原理并进行检测。</w:t>
            </w:r>
          </w:p>
        </w:tc>
        <w:tc>
          <w:tcPr>
            <w:tcW w:w="705"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734" w:type="dxa"/>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3</w:t>
            </w:r>
          </w:p>
        </w:tc>
        <w:tc>
          <w:tcPr>
            <w:tcW w:w="1468"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实验三：混合动力汽车结构认识</w:t>
            </w:r>
          </w:p>
        </w:tc>
        <w:tc>
          <w:tcPr>
            <w:tcW w:w="306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上网查询资料、观看教学视频、参观实物等方式，了解混合动力汽车的使用种类、整体结构组成以及其基本工作原理。</w:t>
            </w:r>
          </w:p>
        </w:tc>
        <w:tc>
          <w:tcPr>
            <w:tcW w:w="31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1.识别混合动力汽车区别于传统燃油车的几大部件。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2.能说出各部件的工作原理并进行检测。</w:t>
            </w:r>
          </w:p>
        </w:tc>
        <w:tc>
          <w:tcPr>
            <w:tcW w:w="705"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734" w:type="dxa"/>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4</w:t>
            </w:r>
          </w:p>
        </w:tc>
        <w:tc>
          <w:tcPr>
            <w:tcW w:w="1468"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实验四：动力电池维护</w:t>
            </w:r>
          </w:p>
        </w:tc>
        <w:tc>
          <w:tcPr>
            <w:tcW w:w="306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通过查阅资料、观看教学视频、拆装实物等方式，了解蓄电池、超级电容器和质子交换膜燃料电池的基本结构和工作原理。</w:t>
            </w:r>
          </w:p>
        </w:tc>
        <w:tc>
          <w:tcPr>
            <w:tcW w:w="31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1.能够识别电池类型；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2.能够测量电池的各参数；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3.能正确维护动力电池。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default" w:ascii="仿宋_GB2312" w:hAnsi="仿宋_GB2312" w:eastAsia="仿宋_GB2312" w:cs="仿宋_GB2312"/>
                <w:i w:val="0"/>
                <w:iCs w:val="0"/>
                <w:caps w:val="0"/>
                <w:color w:val="1B1B1B"/>
                <w:spacing w:val="0"/>
                <w:sz w:val="24"/>
                <w:szCs w:val="24"/>
              </w:rPr>
              <w:t> </w:t>
            </w:r>
          </w:p>
        </w:tc>
        <w:tc>
          <w:tcPr>
            <w:tcW w:w="705"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734" w:type="dxa"/>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5</w:t>
            </w:r>
          </w:p>
        </w:tc>
        <w:tc>
          <w:tcPr>
            <w:tcW w:w="1468"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实验五：电机控制电路连接及检测</w:t>
            </w:r>
          </w:p>
        </w:tc>
        <w:tc>
          <w:tcPr>
            <w:tcW w:w="306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通过查阅资料、观看教学视频、拆装实物等方式，认识各种电机结构及应用。</w:t>
            </w:r>
          </w:p>
        </w:tc>
        <w:tc>
          <w:tcPr>
            <w:tcW w:w="31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1.能够识别直流电机、永磁同步电机、三相异步电机、开关磁阻电机的结构及工作原理；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2.能够连接简单的电机控制电路并检测；</w:t>
            </w:r>
          </w:p>
        </w:tc>
        <w:tc>
          <w:tcPr>
            <w:tcW w:w="705"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734" w:type="dxa"/>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6</w:t>
            </w:r>
          </w:p>
        </w:tc>
        <w:tc>
          <w:tcPr>
            <w:tcW w:w="1468"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实验六：电动汽车充电及维护</w:t>
            </w:r>
          </w:p>
        </w:tc>
        <w:tc>
          <w:tcPr>
            <w:tcW w:w="306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了解新能源汽车的高压安全知识，正确的防护，正确的充电方式选择。</w:t>
            </w:r>
          </w:p>
        </w:tc>
        <w:tc>
          <w:tcPr>
            <w:tcW w:w="3150"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1.能做好安全防护；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2.能采取正确充电的方式。</w:t>
            </w:r>
          </w:p>
        </w:tc>
        <w:tc>
          <w:tcPr>
            <w:tcW w:w="705"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412" w:type="dxa"/>
            <w:gridSpan w:val="4"/>
            <w:tcBorders>
              <w:top w:val="nil"/>
              <w:left w:val="single" w:color="auto" w:sz="8" w:space="0"/>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合 计</w:t>
            </w:r>
          </w:p>
        </w:tc>
        <w:tc>
          <w:tcPr>
            <w:tcW w:w="705" w:type="dxa"/>
            <w:tcBorders>
              <w:top w:val="nil"/>
              <w:left w:val="nil"/>
              <w:bottom w:val="single" w:color="auto" w:sz="8" w:space="0"/>
              <w:right w:val="single" w:color="auto" w:sz="8" w:space="0"/>
            </w:tcBorders>
            <w:shd w:val="clear" w:color="auto" w:fill="FAFAFA"/>
            <w:noWrap w:val="0"/>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仿宋_GB2312" w:hAnsi="仿宋_GB2312" w:eastAsia="仿宋_GB2312" w:cs="仿宋_GB2312"/>
                <w:i w:val="0"/>
                <w:iCs w:val="0"/>
                <w:caps w:val="0"/>
                <w:color w:val="1B1B1B"/>
                <w:spacing w:val="0"/>
                <w:sz w:val="24"/>
                <w:szCs w:val="24"/>
              </w:rPr>
            </w:pPr>
            <w:r>
              <w:rPr>
                <w:rFonts w:hint="eastAsia" w:ascii="仿宋_GB2312" w:hAnsi="仿宋_GB2312" w:eastAsia="仿宋_GB2312" w:cs="仿宋_GB2312"/>
                <w:i w:val="0"/>
                <w:iCs w:val="0"/>
                <w:caps w:val="0"/>
                <w:color w:val="1B1B1B"/>
                <w:spacing w:val="0"/>
                <w:sz w:val="24"/>
                <w:szCs w:val="24"/>
              </w:rPr>
              <w:t>12</w:t>
            </w:r>
          </w:p>
        </w:tc>
      </w:tr>
    </w:tbl>
    <w:p>
      <w:pPr>
        <w:widowControl/>
        <w:adjustRightInd w:val="0"/>
        <w:snapToGrid w:val="0"/>
        <w:spacing w:before="100" w:beforeAutospacing="1" w:after="100" w:afterAutospacing="1" w:line="560" w:lineRule="exact"/>
        <w:ind w:firstLine="602" w:firstLineChars="200"/>
        <w:jc w:val="left"/>
        <w:outlineLvl w:val="0"/>
        <w:rPr>
          <w:rFonts w:ascii="黑体" w:hAnsi="黑体" w:eastAsia="黑体" w:cs="Arial"/>
          <w:b/>
          <w:bCs/>
          <w:sz w:val="30"/>
          <w:szCs w:val="30"/>
        </w:rPr>
      </w:pPr>
      <w:bookmarkStart w:id="44" w:name="_Toc10858"/>
      <w:bookmarkStart w:id="45" w:name="_Toc6174"/>
      <w:r>
        <w:rPr>
          <w:rFonts w:hint="eastAsia" w:ascii="黑体" w:hAnsi="黑体" w:eastAsia="黑体" w:cs="Arial"/>
          <w:b/>
          <w:bCs/>
          <w:sz w:val="30"/>
          <w:szCs w:val="30"/>
        </w:rPr>
        <w:t>六、课程实施建议</w:t>
      </w:r>
      <w:bookmarkEnd w:id="44"/>
      <w:bookmarkEnd w:id="4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outlineLvl w:val="1"/>
        <w:rPr>
          <w:rFonts w:hint="eastAsia" w:ascii="楷体_GB2312" w:hAnsi="楷体_GB2312" w:eastAsia="楷体_GB2312" w:cs="楷体_GB2312"/>
          <w:b/>
          <w:bCs/>
          <w:i w:val="0"/>
          <w:iCs w:val="0"/>
          <w:caps w:val="0"/>
          <w:color w:val="1B1B1B"/>
          <w:spacing w:val="0"/>
          <w:sz w:val="28"/>
          <w:szCs w:val="28"/>
          <w:shd w:val="clear" w:color="auto" w:fill="FAFAFA"/>
        </w:rPr>
      </w:pPr>
      <w:bookmarkStart w:id="46" w:name="_Toc23830"/>
      <w:r>
        <w:rPr>
          <w:rFonts w:hint="eastAsia" w:ascii="楷体_GB2312" w:hAnsi="楷体_GB2312" w:eastAsia="楷体_GB2312" w:cs="楷体_GB2312"/>
          <w:b/>
          <w:bCs/>
          <w:i w:val="0"/>
          <w:iCs w:val="0"/>
          <w:caps w:val="0"/>
          <w:color w:val="1B1B1B"/>
          <w:spacing w:val="0"/>
          <w:sz w:val="28"/>
          <w:szCs w:val="28"/>
          <w:shd w:val="clear" w:color="auto" w:fill="FAFAFA"/>
        </w:rPr>
        <w:t>（一）教学方法</w:t>
      </w:r>
      <w:bookmarkEnd w:id="46"/>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right="0" w:firstLine="560" w:firstLineChars="20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以学生发展为本，重视培养学生的综合素质和职业能力，以适应汽车电子技术快速发展带来的技术变化，为学生的可持续发展奠定基础。改变传统的以书本课本、教师为中心的教学方式，采用多媒体教学手段，并辅以实物进行教学，使讲授更生动，学生更易于接受。根据教学内容可采用讲授法、演示法、分组讨论法、项目教学法、头脑风暴法、案例教学法等。采用理论和实践相結合的教学模式，引导学生通过学习过程的体验或实际汽车电控系统的故障诊断与维修等，提高学习兴趣，激发学习动力，掌握相应的知识和技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outlineLvl w:val="1"/>
        <w:rPr>
          <w:rFonts w:hint="eastAsia" w:ascii="楷体_GB2312" w:hAnsi="楷体_GB2312" w:eastAsia="楷体_GB2312" w:cs="楷体_GB2312"/>
          <w:b/>
          <w:bCs/>
          <w:i w:val="0"/>
          <w:iCs w:val="0"/>
          <w:caps w:val="0"/>
          <w:color w:val="1B1B1B"/>
          <w:spacing w:val="0"/>
          <w:sz w:val="28"/>
          <w:szCs w:val="28"/>
          <w:shd w:val="clear" w:color="auto" w:fill="FAFAFA"/>
        </w:rPr>
      </w:pPr>
      <w:bookmarkStart w:id="47" w:name="_Toc26375"/>
      <w:r>
        <w:rPr>
          <w:rFonts w:hint="eastAsia" w:ascii="楷体_GB2312" w:hAnsi="楷体_GB2312" w:eastAsia="楷体_GB2312" w:cs="楷体_GB2312"/>
          <w:b/>
          <w:bCs/>
          <w:i w:val="0"/>
          <w:iCs w:val="0"/>
          <w:caps w:val="0"/>
          <w:color w:val="1B1B1B"/>
          <w:spacing w:val="0"/>
          <w:sz w:val="28"/>
          <w:szCs w:val="28"/>
          <w:shd w:val="clear" w:color="auto" w:fill="FAFAFA"/>
        </w:rPr>
        <w:t>（二）师资条件要求</w:t>
      </w:r>
      <w:bookmarkEnd w:id="47"/>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eastAsia"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本课程教学团队专职教师</w:t>
      </w:r>
      <w:r>
        <w:rPr>
          <w:rFonts w:hint="eastAsia" w:ascii="仿宋_GB2312" w:hAnsi="仿宋_GB2312" w:eastAsia="仿宋_GB2312" w:cs="仿宋_GB2312"/>
          <w:i w:val="0"/>
          <w:iCs w:val="0"/>
          <w:caps w:val="0"/>
          <w:color w:val="1B1B1B"/>
          <w:spacing w:val="0"/>
          <w:sz w:val="28"/>
          <w:szCs w:val="28"/>
          <w:shd w:val="clear" w:color="auto" w:fill="FAFAFA"/>
          <w:lang w:val="en-US" w:eastAsia="zh-CN"/>
        </w:rPr>
        <w:t>5</w:t>
      </w:r>
      <w:r>
        <w:rPr>
          <w:rFonts w:hint="eastAsia" w:ascii="仿宋_GB2312" w:hAnsi="仿宋_GB2312" w:eastAsia="仿宋_GB2312" w:cs="仿宋_GB2312"/>
          <w:i w:val="0"/>
          <w:iCs w:val="0"/>
          <w:caps w:val="0"/>
          <w:color w:val="1B1B1B"/>
          <w:spacing w:val="0"/>
          <w:sz w:val="28"/>
          <w:szCs w:val="28"/>
          <w:shd w:val="clear" w:color="auto" w:fill="FAFAFA"/>
        </w:rPr>
        <w:t>人，其中专业教师</w:t>
      </w:r>
      <w:r>
        <w:rPr>
          <w:rFonts w:hint="eastAsia" w:ascii="仿宋_GB2312" w:hAnsi="仿宋_GB2312" w:eastAsia="仿宋_GB2312" w:cs="仿宋_GB2312"/>
          <w:i w:val="0"/>
          <w:iCs w:val="0"/>
          <w:caps w:val="0"/>
          <w:color w:val="1B1B1B"/>
          <w:spacing w:val="0"/>
          <w:sz w:val="28"/>
          <w:szCs w:val="28"/>
          <w:shd w:val="clear" w:color="auto" w:fill="FAFAFA"/>
          <w:lang w:val="en-US" w:eastAsia="zh-CN"/>
        </w:rPr>
        <w:t>5</w:t>
      </w:r>
      <w:r>
        <w:rPr>
          <w:rFonts w:hint="eastAsia" w:ascii="仿宋_GB2312" w:hAnsi="仿宋_GB2312" w:eastAsia="仿宋_GB2312" w:cs="仿宋_GB2312"/>
          <w:i w:val="0"/>
          <w:iCs w:val="0"/>
          <w:caps w:val="0"/>
          <w:color w:val="1B1B1B"/>
          <w:spacing w:val="0"/>
          <w:sz w:val="28"/>
          <w:szCs w:val="28"/>
          <w:shd w:val="clear" w:color="auto" w:fill="FAFAFA"/>
        </w:rPr>
        <w:t>人，。中级以上职称老师达</w:t>
      </w:r>
      <w:r>
        <w:rPr>
          <w:rFonts w:hint="eastAsia" w:ascii="仿宋_GB2312" w:hAnsi="仿宋_GB2312" w:eastAsia="仿宋_GB2312" w:cs="仿宋_GB2312"/>
          <w:i w:val="0"/>
          <w:iCs w:val="0"/>
          <w:caps w:val="0"/>
          <w:color w:val="1B1B1B"/>
          <w:spacing w:val="0"/>
          <w:sz w:val="28"/>
          <w:szCs w:val="28"/>
          <w:shd w:val="clear" w:color="auto" w:fill="FAFAFA"/>
          <w:lang w:val="en-US" w:eastAsia="zh-CN"/>
        </w:rPr>
        <w:t>80</w:t>
      </w:r>
      <w:r>
        <w:rPr>
          <w:rFonts w:hint="eastAsia" w:ascii="仿宋_GB2312" w:hAnsi="仿宋_GB2312" w:eastAsia="仿宋_GB2312" w:cs="仿宋_GB2312"/>
          <w:i w:val="0"/>
          <w:iCs w:val="0"/>
          <w:caps w:val="0"/>
          <w:color w:val="1B1B1B"/>
          <w:spacing w:val="0"/>
          <w:sz w:val="28"/>
          <w:szCs w:val="28"/>
          <w:shd w:val="clear" w:color="auto" w:fill="FAFAFA"/>
        </w:rPr>
        <w:t>%，一体化教师</w:t>
      </w:r>
      <w:r>
        <w:rPr>
          <w:rFonts w:hint="eastAsia" w:ascii="仿宋_GB2312" w:hAnsi="仿宋_GB2312" w:eastAsia="仿宋_GB2312" w:cs="仿宋_GB2312"/>
          <w:i w:val="0"/>
          <w:iCs w:val="0"/>
          <w:caps w:val="0"/>
          <w:color w:val="1B1B1B"/>
          <w:spacing w:val="0"/>
          <w:sz w:val="28"/>
          <w:szCs w:val="28"/>
          <w:shd w:val="clear" w:color="auto" w:fill="FAFAFA"/>
          <w:lang w:val="en-US" w:eastAsia="zh-CN"/>
        </w:rPr>
        <w:t>2</w:t>
      </w:r>
      <w:r>
        <w:rPr>
          <w:rFonts w:hint="eastAsia" w:ascii="仿宋_GB2312" w:hAnsi="仿宋_GB2312" w:eastAsia="仿宋_GB2312" w:cs="仿宋_GB2312"/>
          <w:i w:val="0"/>
          <w:iCs w:val="0"/>
          <w:caps w:val="0"/>
          <w:color w:val="1B1B1B"/>
          <w:spacing w:val="0"/>
          <w:sz w:val="28"/>
          <w:szCs w:val="28"/>
          <w:shd w:val="clear" w:color="auto" w:fill="FAFAFA"/>
        </w:rPr>
        <w:t>人，企业兼职教师</w:t>
      </w:r>
      <w:r>
        <w:rPr>
          <w:rFonts w:hint="eastAsia" w:ascii="仿宋_GB2312" w:hAnsi="仿宋_GB2312" w:eastAsia="仿宋_GB2312" w:cs="仿宋_GB2312"/>
          <w:i w:val="0"/>
          <w:iCs w:val="0"/>
          <w:caps w:val="0"/>
          <w:color w:val="1B1B1B"/>
          <w:spacing w:val="0"/>
          <w:sz w:val="28"/>
          <w:szCs w:val="28"/>
          <w:shd w:val="clear" w:color="auto" w:fill="FAFAFA"/>
          <w:lang w:val="en-US" w:eastAsia="zh-CN"/>
        </w:rPr>
        <w:t>1</w:t>
      </w:r>
      <w:r>
        <w:rPr>
          <w:rFonts w:hint="eastAsia" w:ascii="仿宋_GB2312" w:hAnsi="仿宋_GB2312" w:eastAsia="仿宋_GB2312" w:cs="仿宋_GB2312"/>
          <w:i w:val="0"/>
          <w:iCs w:val="0"/>
          <w:caps w:val="0"/>
          <w:color w:val="1B1B1B"/>
          <w:spacing w:val="0"/>
          <w:sz w:val="28"/>
          <w:szCs w:val="28"/>
          <w:shd w:val="clear" w:color="auto" w:fill="FAFAFA"/>
        </w:rPr>
        <w:t>人，具有丰富的专业从业经验和较强的专业操作技能。</w:t>
      </w:r>
    </w:p>
    <w:p>
      <w:pPr>
        <w:pStyle w:val="6"/>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outlineLvl w:val="1"/>
        <w:rPr>
          <w:rFonts w:hint="eastAsia" w:ascii="楷体_GB2312" w:hAnsi="楷体_GB2312" w:eastAsia="楷体_GB2312" w:cs="楷体_GB2312"/>
          <w:b/>
          <w:bCs/>
          <w:i w:val="0"/>
          <w:iCs w:val="0"/>
          <w:caps w:val="0"/>
          <w:color w:val="1B1B1B"/>
          <w:spacing w:val="0"/>
          <w:sz w:val="28"/>
          <w:szCs w:val="28"/>
          <w:shd w:val="clear" w:color="auto" w:fill="FAFAFA"/>
        </w:rPr>
      </w:pPr>
      <w:bookmarkStart w:id="48" w:name="_Toc31879"/>
      <w:r>
        <w:rPr>
          <w:rFonts w:hint="eastAsia" w:ascii="楷体_GB2312" w:hAnsi="楷体_GB2312" w:eastAsia="楷体_GB2312" w:cs="楷体_GB2312"/>
          <w:b/>
          <w:bCs/>
          <w:i w:val="0"/>
          <w:iCs w:val="0"/>
          <w:caps w:val="0"/>
          <w:color w:val="1B1B1B"/>
          <w:spacing w:val="0"/>
          <w:sz w:val="28"/>
          <w:szCs w:val="28"/>
          <w:shd w:val="clear" w:color="auto" w:fill="FAFAFA"/>
        </w:rPr>
        <w:t>教学条件基本要求</w:t>
      </w:r>
      <w:bookmarkEnd w:id="48"/>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1. 课内学习要求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课堂教学：多媒体教室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情景模拟：汽车实训室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2. 课外学习要求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eastAsia" w:ascii="楷体_GB2312" w:hAnsi="楷体_GB2312" w:eastAsia="楷体_GB2312" w:cs="楷体_GB2312"/>
          <w:b/>
          <w:bCs/>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    网络教室、自学辅导中心等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outlineLvl w:val="1"/>
        <w:rPr>
          <w:rFonts w:hint="eastAsia" w:ascii="楷体_GB2312" w:hAnsi="楷体_GB2312" w:eastAsia="楷体_GB2312" w:cs="楷体_GB2312"/>
          <w:b/>
          <w:bCs/>
          <w:i w:val="0"/>
          <w:iCs w:val="0"/>
          <w:caps w:val="0"/>
          <w:color w:val="1B1B1B"/>
          <w:spacing w:val="0"/>
          <w:sz w:val="28"/>
          <w:szCs w:val="28"/>
          <w:shd w:val="clear" w:color="auto" w:fill="FAFAFA"/>
        </w:rPr>
      </w:pPr>
      <w:bookmarkStart w:id="49" w:name="_Toc5759"/>
      <w:r>
        <w:rPr>
          <w:rFonts w:hint="eastAsia" w:ascii="楷体_GB2312" w:hAnsi="楷体_GB2312" w:eastAsia="楷体_GB2312" w:cs="楷体_GB2312"/>
          <w:b/>
          <w:bCs/>
          <w:i w:val="0"/>
          <w:iCs w:val="0"/>
          <w:caps w:val="0"/>
          <w:color w:val="1B1B1B"/>
          <w:spacing w:val="0"/>
          <w:sz w:val="28"/>
          <w:szCs w:val="28"/>
          <w:shd w:val="clear" w:color="auto" w:fill="FAFAFA"/>
        </w:rPr>
        <w:t>（四）教材和教参选用</w:t>
      </w:r>
      <w:bookmarkEnd w:id="49"/>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lang w:val="en-US" w:eastAsia="zh-CN"/>
        </w:rPr>
      </w:pPr>
      <w:r>
        <w:rPr>
          <w:rFonts w:hint="eastAsia" w:ascii="仿宋_GB2312" w:hAnsi="仿宋_GB2312" w:eastAsia="仿宋_GB2312" w:cs="仿宋_GB2312"/>
          <w:i w:val="0"/>
          <w:iCs w:val="0"/>
          <w:caps w:val="0"/>
          <w:color w:val="1B1B1B"/>
          <w:spacing w:val="0"/>
          <w:sz w:val="28"/>
          <w:szCs w:val="28"/>
          <w:shd w:val="clear" w:color="auto" w:fill="FAFAFA"/>
        </w:rPr>
        <w:t>1</w:t>
      </w:r>
      <w:r>
        <w:rPr>
          <w:rFonts w:hint="eastAsia" w:ascii="仿宋_GB2312" w:hAnsi="仿宋_GB2312" w:eastAsia="仿宋_GB2312" w:cs="仿宋_GB2312"/>
          <w:i w:val="0"/>
          <w:iCs w:val="0"/>
          <w:caps w:val="0"/>
          <w:color w:val="1B1B1B"/>
          <w:spacing w:val="0"/>
          <w:sz w:val="28"/>
          <w:szCs w:val="28"/>
          <w:shd w:val="clear" w:color="auto" w:fill="FAFAFA"/>
          <w:lang w:eastAsia="zh-CN"/>
        </w:rPr>
        <w:t>.</w:t>
      </w:r>
      <w:r>
        <w:rPr>
          <w:rFonts w:hint="eastAsia" w:ascii="仿宋_GB2312" w:hAnsi="仿宋_GB2312" w:eastAsia="仿宋_GB2312" w:cs="仿宋_GB2312"/>
          <w:i w:val="0"/>
          <w:iCs w:val="0"/>
          <w:caps w:val="0"/>
          <w:color w:val="1B1B1B"/>
          <w:spacing w:val="0"/>
          <w:sz w:val="28"/>
          <w:szCs w:val="28"/>
          <w:shd w:val="clear" w:color="auto" w:fill="FAFAFA"/>
        </w:rPr>
        <w:t>张斌,蔡春华.新能源汽车概论[M].北京：机械工业出版社,20</w:t>
      </w:r>
      <w:r>
        <w:rPr>
          <w:rFonts w:hint="eastAsia" w:ascii="仿宋_GB2312" w:hAnsi="仿宋_GB2312" w:eastAsia="仿宋_GB2312" w:cs="仿宋_GB2312"/>
          <w:i w:val="0"/>
          <w:iCs w:val="0"/>
          <w:caps w:val="0"/>
          <w:color w:val="1B1B1B"/>
          <w:spacing w:val="0"/>
          <w:sz w:val="28"/>
          <w:szCs w:val="28"/>
          <w:shd w:val="clear" w:color="auto" w:fill="FAFAFA"/>
          <w:lang w:val="en-US" w:eastAsia="zh-CN"/>
        </w:rPr>
        <w:t>20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lang w:val="en-US" w:eastAsia="zh-CN"/>
        </w:rPr>
      </w:pPr>
      <w:r>
        <w:rPr>
          <w:rFonts w:hint="eastAsia" w:ascii="仿宋_GB2312" w:hAnsi="仿宋_GB2312" w:eastAsia="仿宋_GB2312" w:cs="仿宋_GB2312"/>
          <w:i w:val="0"/>
          <w:iCs w:val="0"/>
          <w:caps w:val="0"/>
          <w:color w:val="1B1B1B"/>
          <w:spacing w:val="0"/>
          <w:sz w:val="28"/>
          <w:szCs w:val="28"/>
          <w:shd w:val="clear" w:color="auto" w:fill="FAFAFA"/>
        </w:rPr>
        <w:t>2</w:t>
      </w:r>
      <w:r>
        <w:rPr>
          <w:rFonts w:hint="eastAsia" w:ascii="仿宋_GB2312" w:hAnsi="仿宋_GB2312" w:eastAsia="仿宋_GB2312" w:cs="仿宋_GB2312"/>
          <w:i w:val="0"/>
          <w:iCs w:val="0"/>
          <w:caps w:val="0"/>
          <w:color w:val="1B1B1B"/>
          <w:spacing w:val="0"/>
          <w:sz w:val="28"/>
          <w:szCs w:val="28"/>
          <w:shd w:val="clear" w:color="auto" w:fill="FAFAFA"/>
          <w:lang w:eastAsia="zh-CN"/>
        </w:rPr>
        <w:t>.</w:t>
      </w:r>
      <w:r>
        <w:rPr>
          <w:rFonts w:hint="eastAsia" w:ascii="仿宋_GB2312" w:hAnsi="仿宋_GB2312" w:eastAsia="仿宋_GB2312" w:cs="仿宋_GB2312"/>
          <w:i w:val="0"/>
          <w:iCs w:val="0"/>
          <w:caps w:val="0"/>
          <w:color w:val="1B1B1B"/>
          <w:spacing w:val="0"/>
          <w:sz w:val="28"/>
          <w:szCs w:val="28"/>
          <w:shd w:val="clear" w:color="auto" w:fill="FAFAFA"/>
        </w:rPr>
        <w:t>尹力卉.新能源汽车技术[M].北京：机械工业出版社，20</w:t>
      </w:r>
      <w:r>
        <w:rPr>
          <w:rFonts w:hint="eastAsia" w:ascii="仿宋_GB2312" w:hAnsi="仿宋_GB2312" w:eastAsia="仿宋_GB2312" w:cs="仿宋_GB2312"/>
          <w:i w:val="0"/>
          <w:iCs w:val="0"/>
          <w:caps w:val="0"/>
          <w:color w:val="1B1B1B"/>
          <w:spacing w:val="0"/>
          <w:sz w:val="28"/>
          <w:szCs w:val="28"/>
          <w:shd w:val="clear" w:color="auto" w:fill="FAFAFA"/>
          <w:lang w:val="en-US" w:eastAsia="zh-CN"/>
        </w:rPr>
        <w:t>21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lang w:val="en-US" w:eastAsia="zh-CN"/>
        </w:rPr>
      </w:pPr>
      <w:r>
        <w:rPr>
          <w:rFonts w:hint="eastAsia" w:ascii="仿宋_GB2312" w:hAnsi="仿宋_GB2312" w:eastAsia="仿宋_GB2312" w:cs="仿宋_GB2312"/>
          <w:i w:val="0"/>
          <w:iCs w:val="0"/>
          <w:caps w:val="0"/>
          <w:color w:val="1B1B1B"/>
          <w:spacing w:val="0"/>
          <w:sz w:val="28"/>
          <w:szCs w:val="28"/>
          <w:shd w:val="clear" w:color="auto" w:fill="FAFAFA"/>
        </w:rPr>
        <w:t>3</w:t>
      </w:r>
      <w:r>
        <w:rPr>
          <w:rFonts w:hint="eastAsia" w:ascii="仿宋_GB2312" w:hAnsi="仿宋_GB2312" w:eastAsia="仿宋_GB2312" w:cs="仿宋_GB2312"/>
          <w:i w:val="0"/>
          <w:iCs w:val="0"/>
          <w:caps w:val="0"/>
          <w:color w:val="1B1B1B"/>
          <w:spacing w:val="0"/>
          <w:sz w:val="28"/>
          <w:szCs w:val="28"/>
          <w:shd w:val="clear" w:color="auto" w:fill="FAFAFA"/>
          <w:lang w:eastAsia="zh-CN"/>
        </w:rPr>
        <w:t>.</w:t>
      </w:r>
      <w:r>
        <w:rPr>
          <w:rFonts w:hint="eastAsia" w:ascii="仿宋_GB2312" w:hAnsi="仿宋_GB2312" w:eastAsia="仿宋_GB2312" w:cs="仿宋_GB2312"/>
          <w:i w:val="0"/>
          <w:iCs w:val="0"/>
          <w:caps w:val="0"/>
          <w:color w:val="1B1B1B"/>
          <w:spacing w:val="0"/>
          <w:sz w:val="28"/>
          <w:szCs w:val="28"/>
          <w:shd w:val="clear" w:color="auto" w:fill="FAFAFA"/>
        </w:rPr>
        <w:t>孙旭.新能源汽车技术概论[M].北京：国防工业出版社，20</w:t>
      </w:r>
      <w:r>
        <w:rPr>
          <w:rFonts w:hint="eastAsia" w:ascii="仿宋_GB2312" w:hAnsi="仿宋_GB2312" w:eastAsia="仿宋_GB2312" w:cs="仿宋_GB2312"/>
          <w:i w:val="0"/>
          <w:iCs w:val="0"/>
          <w:caps w:val="0"/>
          <w:color w:val="1B1B1B"/>
          <w:spacing w:val="0"/>
          <w:sz w:val="28"/>
          <w:szCs w:val="28"/>
          <w:shd w:val="clear" w:color="auto" w:fill="FAFAFA"/>
          <w:lang w:val="en-US" w:eastAsia="zh-CN"/>
        </w:rPr>
        <w:t>19</w:t>
      </w:r>
    </w:p>
    <w:p>
      <w:pPr>
        <w:widowControl/>
        <w:spacing w:before="100" w:beforeAutospacing="1" w:after="100" w:afterAutospacing="1" w:line="400" w:lineRule="exact"/>
        <w:ind w:firstLine="482"/>
        <w:jc w:val="left"/>
        <w:outlineLvl w:val="0"/>
        <w:rPr>
          <w:rFonts w:ascii="黑体" w:hAnsi="黑体" w:eastAsia="黑体" w:cs="Arial"/>
          <w:b/>
          <w:bCs/>
          <w:sz w:val="30"/>
          <w:szCs w:val="30"/>
        </w:rPr>
      </w:pPr>
      <w:bookmarkStart w:id="50" w:name="_Toc7134"/>
      <w:bookmarkStart w:id="51" w:name="_Toc1440"/>
      <w:r>
        <w:rPr>
          <w:rFonts w:hint="eastAsia" w:ascii="黑体" w:hAnsi="黑体" w:eastAsia="黑体" w:cs="Arial"/>
          <w:b/>
          <w:bCs/>
          <w:sz w:val="30"/>
          <w:szCs w:val="30"/>
        </w:rPr>
        <w:t>七、教学评价</w:t>
      </w:r>
      <w:r>
        <w:rPr>
          <w:rFonts w:hint="eastAsia" w:ascii="黑体" w:hAnsi="黑体" w:eastAsia="黑体" w:cs="宋体"/>
          <w:sz w:val="30"/>
          <w:szCs w:val="30"/>
        </w:rPr>
        <w:t>、考核要求</w:t>
      </w:r>
      <w:bookmarkEnd w:id="50"/>
      <w:bookmarkEnd w:id="51"/>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采取过程性考核与终结性考核相结合的考核机制，突出学生独立完成工作任务的能力和创新性的评定。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outlineLvl w:val="1"/>
        <w:rPr>
          <w:rFonts w:hint="eastAsia" w:ascii="楷体_GB2312" w:hAnsi="楷体_GB2312" w:eastAsia="楷体_GB2312" w:cs="楷体_GB2312"/>
          <w:b/>
          <w:bCs/>
          <w:i w:val="0"/>
          <w:iCs w:val="0"/>
          <w:caps w:val="0"/>
          <w:color w:val="1B1B1B"/>
          <w:spacing w:val="0"/>
          <w:sz w:val="28"/>
          <w:szCs w:val="28"/>
          <w:shd w:val="clear" w:color="auto" w:fill="FAFAFA"/>
        </w:rPr>
      </w:pPr>
      <w:bookmarkStart w:id="52" w:name="_Toc10720"/>
      <w:r>
        <w:rPr>
          <w:rFonts w:hint="eastAsia" w:ascii="楷体_GB2312" w:hAnsi="楷体_GB2312" w:eastAsia="楷体_GB2312" w:cs="楷体_GB2312"/>
          <w:b/>
          <w:bCs/>
          <w:i w:val="0"/>
          <w:iCs w:val="0"/>
          <w:caps w:val="0"/>
          <w:color w:val="1B1B1B"/>
          <w:spacing w:val="0"/>
          <w:sz w:val="28"/>
          <w:szCs w:val="28"/>
          <w:shd w:val="clear" w:color="auto" w:fill="FAFAFA"/>
          <w:lang w:eastAsia="zh-CN"/>
        </w:rPr>
        <w:t>（一）</w:t>
      </w:r>
      <w:r>
        <w:rPr>
          <w:rFonts w:hint="eastAsia" w:ascii="楷体_GB2312" w:hAnsi="楷体_GB2312" w:eastAsia="楷体_GB2312" w:cs="楷体_GB2312"/>
          <w:b/>
          <w:bCs/>
          <w:i w:val="0"/>
          <w:iCs w:val="0"/>
          <w:caps w:val="0"/>
          <w:color w:val="1B1B1B"/>
          <w:spacing w:val="0"/>
          <w:sz w:val="28"/>
          <w:szCs w:val="28"/>
          <w:shd w:val="clear" w:color="auto" w:fill="FAFAFA"/>
        </w:rPr>
        <w:t>考核及成绩评定方式</w:t>
      </w:r>
      <w:bookmarkEnd w:id="52"/>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right="0" w:firstLine="560" w:firstLineChars="20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根据本课程的特点和要求，在各个阶段采取多种形式对学生进行考核和检测。在测试命题中要注意客观型试题、主观型试题、记忆型试题和应用型试题的适当比例，避免过多使用多项选择题的偏向；同时，还要注意对学生的理解能力和表达能力进行更全面的考核和评估。考试是一种重要的评估手段，但不是唯一的评估手段。为了更全面地了解学生的实际水平和能力，为了更好地培养学生的思维能力、分析能力和创造能力，应采取灵活多样的方式对学生的学习情况进行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right="0" w:firstLine="560" w:firstLineChars="20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平时课堂表现、作业情况、实践课完成质量等，均纳入期评。学期末进行一次考试，采用闭卷，主要考查学生的专业知识运用能力和知识迁移能力，考试以课本内容为主要依据。在考核专业知识的同时,着重考核学生实际运用的能力,要做到科学,公平和规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outlineLvl w:val="1"/>
        <w:rPr>
          <w:rFonts w:hint="default" w:ascii="楷体_GB2312" w:hAnsi="楷体_GB2312" w:eastAsia="楷体_GB2312" w:cs="楷体_GB2312"/>
          <w:b/>
          <w:bCs/>
          <w:i w:val="0"/>
          <w:iCs w:val="0"/>
          <w:caps w:val="0"/>
          <w:color w:val="1B1B1B"/>
          <w:spacing w:val="0"/>
          <w:sz w:val="28"/>
          <w:szCs w:val="28"/>
          <w:shd w:val="clear" w:color="auto" w:fill="FAFAFA"/>
        </w:rPr>
      </w:pPr>
      <w:bookmarkStart w:id="53" w:name="_Toc7594"/>
      <w:r>
        <w:rPr>
          <w:rFonts w:hint="eastAsia" w:ascii="楷体_GB2312" w:hAnsi="楷体_GB2312" w:eastAsia="楷体_GB2312" w:cs="楷体_GB2312"/>
          <w:b/>
          <w:bCs/>
          <w:i w:val="0"/>
          <w:iCs w:val="0"/>
          <w:caps w:val="0"/>
          <w:color w:val="1B1B1B"/>
          <w:spacing w:val="0"/>
          <w:sz w:val="28"/>
          <w:szCs w:val="28"/>
          <w:shd w:val="clear" w:color="auto" w:fill="FAFAFA"/>
          <w:lang w:eastAsia="zh-CN"/>
        </w:rPr>
        <w:t>（二）</w:t>
      </w:r>
      <w:r>
        <w:rPr>
          <w:rFonts w:hint="eastAsia" w:ascii="楷体_GB2312" w:hAnsi="楷体_GB2312" w:eastAsia="楷体_GB2312" w:cs="楷体_GB2312"/>
          <w:b/>
          <w:bCs/>
          <w:i w:val="0"/>
          <w:iCs w:val="0"/>
          <w:caps w:val="0"/>
          <w:color w:val="1B1B1B"/>
          <w:spacing w:val="0"/>
          <w:sz w:val="28"/>
          <w:szCs w:val="28"/>
          <w:shd w:val="clear" w:color="auto" w:fill="FAFAFA"/>
        </w:rPr>
        <w:t>考核评价标准</w:t>
      </w:r>
      <w:bookmarkEnd w:id="5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笔试题型以主、客观题综合型。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课程采用百分制，满分100分。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val="0"/>
        <w:overflowPunct/>
        <w:topLinePunct w:val="0"/>
        <w:autoSpaceDE/>
        <w:autoSpaceDN/>
        <w:bidi w:val="0"/>
        <w:spacing w:before="0" w:beforeAutospacing="0" w:after="0" w:afterAutospacing="0" w:line="480" w:lineRule="exact"/>
        <w:ind w:left="0" w:right="0" w:firstLine="420"/>
        <w:jc w:val="left"/>
        <w:textAlignment w:val="auto"/>
        <w:rPr>
          <w:rFonts w:hint="default" w:ascii="仿宋_GB2312" w:hAnsi="仿宋_GB2312" w:eastAsia="仿宋_GB2312" w:cs="仿宋_GB2312"/>
          <w:i w:val="0"/>
          <w:iCs w:val="0"/>
          <w:caps w:val="0"/>
          <w:color w:val="1B1B1B"/>
          <w:spacing w:val="0"/>
          <w:sz w:val="28"/>
          <w:szCs w:val="28"/>
          <w:shd w:val="clear" w:color="auto" w:fill="FAFAFA"/>
        </w:rPr>
      </w:pPr>
      <w:r>
        <w:rPr>
          <w:rFonts w:hint="eastAsia" w:ascii="仿宋_GB2312" w:hAnsi="仿宋_GB2312" w:eastAsia="仿宋_GB2312" w:cs="仿宋_GB2312"/>
          <w:i w:val="0"/>
          <w:iCs w:val="0"/>
          <w:caps w:val="0"/>
          <w:color w:val="1B1B1B"/>
          <w:spacing w:val="0"/>
          <w:sz w:val="28"/>
          <w:szCs w:val="28"/>
          <w:shd w:val="clear" w:color="auto" w:fill="FAFAFA"/>
        </w:rPr>
        <w:t>学期总成绩= 过程性考核成绩（60%）+终结性考核成绩（40%）。</w:t>
      </w:r>
    </w:p>
    <w:p>
      <w:pPr>
        <w:rPr>
          <w:rFonts w:hint="eastAsia" w:ascii="Calibri" w:hAnsi="Calibri"/>
        </w:rPr>
      </w:pPr>
    </w:p>
    <w:p/>
    <w:p/>
    <w:p/>
    <w:p/>
    <w:p/>
    <w:p/>
    <w:p/>
    <w:p/>
    <w:p/>
    <w:p/>
    <w:p/>
    <w:p/>
    <w:p>
      <w:pPr>
        <w:jc w:val="center"/>
        <w:rPr>
          <w:rFonts w:hint="eastAsia" w:ascii="Calibri" w:hAnsi="Calibri" w:cs="Arial"/>
          <w:kern w:val="0"/>
          <w:sz w:val="32"/>
          <w:szCs w:val="32"/>
        </w:rPr>
      </w:pPr>
    </w:p>
    <w:p>
      <w:pPr>
        <w:jc w:val="center"/>
        <w:rPr>
          <w:rFonts w:ascii="Calibri" w:hAnsi="Calibri" w:cs="Arial"/>
          <w:kern w:val="0"/>
          <w:sz w:val="32"/>
          <w:szCs w:val="32"/>
        </w:rPr>
      </w:pPr>
    </w:p>
    <w:p>
      <w:pPr>
        <w:jc w:val="center"/>
        <w:rPr>
          <w:rFonts w:ascii="Calibri" w:hAnsi="Calibri" w:cs="Arial"/>
          <w:kern w:val="0"/>
          <w:sz w:val="32"/>
          <w:szCs w:val="32"/>
        </w:rPr>
      </w:pPr>
    </w:p>
    <w:p>
      <w:pPr>
        <w:jc w:val="center"/>
        <w:rPr>
          <w:rFonts w:hint="eastAsia" w:ascii="Calibri" w:hAnsi="Calibri" w:cs="Arial"/>
          <w:kern w:val="0"/>
          <w:sz w:val="32"/>
          <w:szCs w:val="32"/>
        </w:rPr>
      </w:pPr>
    </w:p>
    <w:p>
      <w:pPr>
        <w:jc w:val="center"/>
        <w:rPr>
          <w:rFonts w:ascii="Calibri" w:hAnsi="Calibri" w:cs="Arial"/>
          <w:sz w:val="36"/>
          <w:szCs w:val="36"/>
        </w:rPr>
      </w:pPr>
      <w:r>
        <w:rPr>
          <w:rFonts w:ascii="Calibri" w:hAnsi="Calibri" w:cs="Arial"/>
          <w:sz w:val="36"/>
          <w:szCs w:val="36"/>
        </w:rPr>
        <w:drawing>
          <wp:inline distT="0" distB="0" distL="114300" distR="114300">
            <wp:extent cx="4251325" cy="889635"/>
            <wp:effectExtent l="0" t="0" r="15875"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Rot="1" noChangeAspect="1"/>
                    </pic:cNvPicPr>
                  </pic:nvPicPr>
                  <pic:blipFill>
                    <a:blip r:embed="rId9"/>
                    <a:stretch>
                      <a:fillRect/>
                    </a:stretch>
                  </pic:blipFill>
                  <pic:spPr>
                    <a:xfrm>
                      <a:off x="0" y="0"/>
                      <a:ext cx="4251325" cy="889635"/>
                    </a:xfrm>
                    <a:prstGeom prst="rect">
                      <a:avLst/>
                    </a:prstGeom>
                    <a:noFill/>
                    <a:ln>
                      <a:noFill/>
                    </a:ln>
                  </pic:spPr>
                </pic:pic>
              </a:graphicData>
            </a:graphic>
          </wp:inline>
        </w:drawing>
      </w:r>
      <w:r>
        <w:rPr>
          <w:rFonts w:ascii="Calibri" w:hAnsi="Calibri" w:cs="Arial"/>
          <w:sz w:val="36"/>
          <w:szCs w:val="36"/>
        </w:rPr>
        <w:t xml:space="preserve"> </w:t>
      </w:r>
    </w:p>
    <w:p>
      <w:pPr>
        <w:jc w:val="center"/>
        <w:rPr>
          <w:rFonts w:hint="eastAsia" w:ascii="Calibri" w:hAnsi="Calibri" w:cs="Arial"/>
          <w:sz w:val="36"/>
          <w:szCs w:val="36"/>
        </w:rPr>
      </w:pPr>
    </w:p>
    <w:p>
      <w:pPr>
        <w:jc w:val="center"/>
        <w:outlineLvl w:val="0"/>
        <w:rPr>
          <w:rFonts w:hint="eastAsia" w:ascii="黑体" w:hAnsi="黑体" w:eastAsia="黑体" w:cs="Arial"/>
          <w:b/>
          <w:bCs/>
          <w:sz w:val="44"/>
          <w:szCs w:val="44"/>
        </w:rPr>
      </w:pPr>
      <w:bookmarkStart w:id="54" w:name="_Toc12408"/>
      <w:r>
        <w:rPr>
          <w:rFonts w:hint="eastAsia" w:ascii="黑体" w:hAnsi="黑体" w:eastAsia="黑体" w:cs="Arial"/>
          <w:b/>
          <w:bCs/>
          <w:sz w:val="44"/>
          <w:szCs w:val="44"/>
        </w:rPr>
        <w:t>新能源汽车检测与维修专业</w:t>
      </w:r>
      <w:bookmarkEnd w:id="54"/>
    </w:p>
    <w:p>
      <w:pPr>
        <w:jc w:val="center"/>
        <w:outlineLvl w:val="0"/>
        <w:rPr>
          <w:rFonts w:ascii="黑体" w:hAnsi="黑体" w:eastAsia="黑体" w:cs="Arial"/>
          <w:b/>
          <w:sz w:val="44"/>
          <w:szCs w:val="44"/>
        </w:rPr>
      </w:pPr>
      <w:bookmarkStart w:id="55" w:name="_Toc3848"/>
      <w:r>
        <w:rPr>
          <w:rFonts w:hint="eastAsia" w:ascii="黑体" w:hAnsi="黑体" w:eastAsia="黑体" w:cs="Arial"/>
          <w:b/>
          <w:bCs/>
          <w:sz w:val="44"/>
          <w:szCs w:val="44"/>
        </w:rPr>
        <w:t>《</w:t>
      </w:r>
      <w:r>
        <w:rPr>
          <w:rFonts w:hint="eastAsia" w:ascii="黑体" w:hAnsi="黑体" w:eastAsia="黑体" w:cs="Arial"/>
          <w:b/>
          <w:bCs/>
          <w:sz w:val="44"/>
          <w:szCs w:val="44"/>
          <w:lang w:eastAsia="zh-CN"/>
        </w:rPr>
        <w:t>新能源汽车故障诊断</w:t>
      </w:r>
      <w:r>
        <w:rPr>
          <w:rFonts w:hint="eastAsia" w:ascii="黑体" w:hAnsi="黑体" w:eastAsia="黑体" w:cs="Arial"/>
          <w:b/>
          <w:bCs/>
          <w:sz w:val="44"/>
          <w:szCs w:val="44"/>
        </w:rPr>
        <w:t>》一体化</w:t>
      </w:r>
      <w:r>
        <w:rPr>
          <w:rFonts w:hint="eastAsia" w:ascii="黑体" w:hAnsi="黑体" w:eastAsia="黑体" w:cs="Arial"/>
          <w:b/>
          <w:sz w:val="44"/>
          <w:szCs w:val="44"/>
        </w:rPr>
        <w:t>课程标准</w:t>
      </w:r>
      <w:bookmarkEnd w:id="55"/>
    </w:p>
    <w:p>
      <w:pPr>
        <w:jc w:val="center"/>
        <w:rPr>
          <w:rFonts w:ascii="黑体" w:hAnsi="黑体" w:eastAsia="黑体" w:cs="Arial"/>
          <w:sz w:val="44"/>
          <w:szCs w:val="44"/>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pStyle w:val="2"/>
        <w:spacing w:before="0" w:after="0" w:line="360" w:lineRule="auto"/>
        <w:jc w:val="center"/>
        <w:rPr>
          <w:rFonts w:hint="eastAsia" w:ascii="方正小标宋简体" w:eastAsia="方正小标宋简体"/>
          <w:b/>
          <w:sz w:val="44"/>
          <w:szCs w:val="36"/>
        </w:rPr>
      </w:pPr>
      <w:bookmarkStart w:id="56" w:name="_Toc27258"/>
      <w:r>
        <w:rPr>
          <w:rFonts w:hint="eastAsia" w:ascii="方正小标宋简体" w:eastAsia="方正小标宋简体"/>
          <w:b/>
          <w:sz w:val="44"/>
          <w:szCs w:val="36"/>
        </w:rPr>
        <w:t>《</w:t>
      </w:r>
      <w:r>
        <w:rPr>
          <w:rFonts w:hint="eastAsia" w:ascii="黑体" w:hAnsi="黑体" w:eastAsia="黑体" w:cs="Arial"/>
          <w:b/>
          <w:bCs/>
          <w:sz w:val="44"/>
          <w:szCs w:val="44"/>
          <w:lang w:eastAsia="zh-CN"/>
        </w:rPr>
        <w:t>新能源汽车故障诊断</w:t>
      </w:r>
      <w:r>
        <w:rPr>
          <w:rFonts w:hint="eastAsia" w:ascii="方正小标宋简体" w:eastAsia="方正小标宋简体"/>
          <w:b/>
          <w:sz w:val="44"/>
          <w:szCs w:val="36"/>
        </w:rPr>
        <w:t>》课程标准</w:t>
      </w:r>
      <w:bookmarkEnd w:id="56"/>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503"/>
        <w:gridCol w:w="19"/>
        <w:gridCol w:w="3303"/>
        <w:gridCol w:w="1606"/>
        <w:gridCol w:w="17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88" w:type="pct"/>
            <w:gridSpan w:val="3"/>
            <w:noWrap w:val="0"/>
            <w:vAlign w:val="center"/>
          </w:tcPr>
          <w:p>
            <w:pPr>
              <w:spacing w:line="440" w:lineRule="exact"/>
              <w:jc w:val="center"/>
              <w:rPr>
                <w:rFonts w:hint="eastAsia" w:ascii="仿宋_GB2312" w:hAnsi="宋体" w:eastAsia="仿宋_GB2312"/>
                <w:sz w:val="28"/>
                <w:szCs w:val="28"/>
              </w:rPr>
            </w:pPr>
            <w:r>
              <w:rPr>
                <w:rFonts w:hint="eastAsia" w:ascii="仿宋_GB2312" w:hAnsi="宋体" w:eastAsia="仿宋_GB2312"/>
                <w:sz w:val="28"/>
                <w:szCs w:val="28"/>
              </w:rPr>
              <w:t>一体化课程名称</w:t>
            </w:r>
          </w:p>
        </w:tc>
        <w:tc>
          <w:tcPr>
            <w:tcW w:w="1938" w:type="pct"/>
            <w:noWrap w:val="0"/>
            <w:vAlign w:val="center"/>
          </w:tcPr>
          <w:p>
            <w:pPr>
              <w:spacing w:line="440" w:lineRule="exact"/>
              <w:jc w:val="center"/>
              <w:rPr>
                <w:rFonts w:hint="eastAsia" w:ascii="仿宋_GB2312" w:hAnsi="宋体" w:eastAsia="仿宋_GB2312"/>
                <w:sz w:val="28"/>
                <w:szCs w:val="28"/>
              </w:rPr>
            </w:pPr>
            <w:r>
              <w:rPr>
                <w:rFonts w:hint="eastAsia" w:ascii="仿宋_GB2312" w:hAnsi="宋体" w:eastAsia="仿宋_GB2312" w:cs="Times New Roman"/>
                <w:sz w:val="28"/>
                <w:szCs w:val="28"/>
                <w:lang w:eastAsia="zh-CN"/>
              </w:rPr>
              <w:t>新能源汽车故障诊断</w:t>
            </w:r>
          </w:p>
        </w:tc>
        <w:tc>
          <w:tcPr>
            <w:tcW w:w="942" w:type="pct"/>
            <w:noWrap w:val="0"/>
            <w:vAlign w:val="center"/>
          </w:tcPr>
          <w:p>
            <w:pPr>
              <w:spacing w:line="440" w:lineRule="exact"/>
              <w:jc w:val="center"/>
              <w:rPr>
                <w:rFonts w:hint="eastAsia" w:ascii="仿宋_GB2312" w:hAnsi="宋体" w:eastAsia="仿宋_GB2312"/>
                <w:sz w:val="28"/>
                <w:szCs w:val="28"/>
              </w:rPr>
            </w:pPr>
            <w:r>
              <w:rPr>
                <w:rFonts w:hint="eastAsia" w:ascii="仿宋_GB2312" w:hAnsi="宋体" w:eastAsia="仿宋_GB2312"/>
                <w:sz w:val="28"/>
                <w:szCs w:val="28"/>
              </w:rPr>
              <w:t>基准学时</w:t>
            </w:r>
          </w:p>
        </w:tc>
        <w:tc>
          <w:tcPr>
            <w:tcW w:w="730" w:type="pct"/>
            <w:gridSpan w:val="2"/>
            <w:noWrap w:val="0"/>
            <w:vAlign w:val="center"/>
          </w:tcPr>
          <w:p>
            <w:pPr>
              <w:spacing w:line="44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000" w:type="pct"/>
            <w:gridSpan w:val="7"/>
            <w:noWrap w:val="0"/>
            <w:vAlign w:val="center"/>
          </w:tcPr>
          <w:p>
            <w:pPr>
              <w:pStyle w:val="3"/>
              <w:spacing w:before="0" w:after="0" w:line="240" w:lineRule="auto"/>
              <w:rPr>
                <w:rFonts w:hint="eastAsia" w:ascii="黑体" w:hAnsi="黑体" w:eastAsia="黑体"/>
                <w:b w:val="0"/>
                <w:sz w:val="30"/>
                <w:szCs w:val="30"/>
              </w:rPr>
            </w:pPr>
            <w:r>
              <w:rPr>
                <w:rFonts w:hint="eastAsia" w:ascii="黑体" w:hAnsi="黑体" w:eastAsia="黑体"/>
                <w:b w:val="0"/>
                <w:sz w:val="30"/>
                <w:szCs w:val="30"/>
              </w:rPr>
              <w:t>一、典型工作任务描述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noWrap w:val="0"/>
            <w:vAlign w:val="center"/>
          </w:tcPr>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新能源汽车高压系统故障是指采用常规故障诊断的思路、方法进行诊断，即能确定故障点，通过零部件更换或控制线路修复、总成部件更换等作业方式即可排除的高压系统故障。由于汽车使用年限的增加或使用不当等原因，可能会出现车辆无法充电、车辆无法行驶、动力蓄电池过热和车辆无法上电等故障。此时。需对高压系统进行诊淅确认故障点，修或更换元件。以恢复车辆的正常使用性能。汽车维修工从车间主管或班组长处接受维修任务，阅读维修工单，明确作业要求，确认故障现象，查阅相应车型的维修手册、技术通报、维修案例等资料，制定相应的故障诊断方案，采用各种检测仪器、设备对新能源汽车高压系统进行检测，记录并分析检测数据，确认故障点。制定经济、合理的修复方案，经客户同意后实施修复。自检合格后交付班组长进行质量检验。作业过程中，作业区域应干燥，并设置隔离区和警示牌。作业人员应穿戴安全防护装备，使用具有绝缘防护的作业工具，禁止戴金属饰品；应严格遵守汽车生产厂家制定的操作规程、企业内部检验规范、安全生产制度、环保管理制度以及“7S”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noWrap w:val="0"/>
            <w:vAlign w:val="center"/>
          </w:tcPr>
          <w:p>
            <w:pPr>
              <w:pStyle w:val="3"/>
              <w:spacing w:before="0" w:after="0" w:line="240" w:lineRule="auto"/>
              <w:rPr>
                <w:rFonts w:hint="eastAsia" w:ascii="仿宋_GB2312" w:hAnsi="宋体"/>
                <w:b w:val="0"/>
              </w:rPr>
            </w:pPr>
            <w:r>
              <w:rPr>
                <w:rFonts w:hint="eastAsia" w:ascii="黑体" w:hAnsi="黑体" w:eastAsia="黑体"/>
                <w:b w:val="0"/>
                <w:sz w:val="30"/>
                <w:szCs w:val="30"/>
              </w:rPr>
              <w:t>二、工作内容分析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7" w:type="pct"/>
            <w:gridSpan w:val="2"/>
            <w:noWrap w:val="0"/>
            <w:vAlign w:val="top"/>
          </w:tcPr>
          <w:p>
            <w:pPr>
              <w:spacing w:line="44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工作</w:t>
            </w:r>
            <w:r>
              <w:rPr>
                <w:rFonts w:hint="eastAsia" w:ascii="仿宋_GB2312" w:hAnsi="宋体" w:eastAsia="仿宋_GB2312"/>
                <w:b/>
                <w:bCs/>
                <w:sz w:val="28"/>
                <w:szCs w:val="28"/>
                <w:lang w:eastAsia="zh-CN"/>
              </w:rPr>
              <w:t>内容</w:t>
            </w:r>
            <w:r>
              <w:rPr>
                <w:rFonts w:hint="eastAsia" w:ascii="仿宋_GB2312" w:hAnsi="宋体" w:eastAsia="仿宋_GB2312"/>
                <w:b/>
                <w:bCs/>
                <w:sz w:val="28"/>
                <w:szCs w:val="28"/>
              </w:rPr>
              <w:t>：</w:t>
            </w:r>
          </w:p>
          <w:p>
            <w:pPr>
              <w:spacing w:line="4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eastAsia="zh-CN"/>
              </w:rPr>
              <w:t>.汽车维修合同或维修工单；</w:t>
            </w:r>
          </w:p>
          <w:p>
            <w:pPr>
              <w:spacing w:line="4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2.</w:t>
            </w:r>
            <w:r>
              <w:rPr>
                <w:rFonts w:hint="eastAsia" w:ascii="仿宋_GB2312" w:hAnsi="宋体" w:eastAsia="仿宋_GB2312"/>
                <w:sz w:val="28"/>
                <w:szCs w:val="28"/>
                <w:lang w:eastAsia="zh-CN"/>
              </w:rPr>
              <w:t>新能源汽车故障现象的确认，与前台接待、车间主管、客户等相关人员的沟通；</w:t>
            </w:r>
          </w:p>
          <w:p>
            <w:pPr>
              <w:spacing w:line="4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3.</w:t>
            </w:r>
            <w:r>
              <w:rPr>
                <w:rFonts w:hint="eastAsia" w:ascii="仿宋_GB2312" w:hAnsi="宋体" w:eastAsia="仿宋_GB2312"/>
                <w:sz w:val="28"/>
                <w:szCs w:val="28"/>
                <w:lang w:eastAsia="zh-CN"/>
              </w:rPr>
              <w:t>查阅</w:t>
            </w:r>
            <w:r>
              <w:rPr>
                <w:rFonts w:hint="eastAsia" w:ascii="仿宋_GB2312" w:hAnsi="宋体" w:eastAsia="仿宋_GB2312"/>
                <w:sz w:val="28"/>
                <w:szCs w:val="28"/>
              </w:rPr>
              <w:t>维修手册及相关技术文件</w:t>
            </w:r>
            <w:r>
              <w:rPr>
                <w:rFonts w:hint="eastAsia" w:ascii="仿宋_GB2312" w:hAnsi="宋体" w:eastAsia="仿宋_GB2312"/>
                <w:sz w:val="28"/>
                <w:szCs w:val="28"/>
                <w:lang w:eastAsia="zh-CN"/>
              </w:rPr>
              <w:t>，分析故障，故障诊断。</w:t>
            </w:r>
          </w:p>
          <w:p>
            <w:pPr>
              <w:spacing w:line="4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4.根据任务要求和维修手册，制定工作计划</w:t>
            </w:r>
            <w:r>
              <w:rPr>
                <w:rFonts w:hint="eastAsia" w:ascii="仿宋_GB2312" w:hAnsi="宋体" w:eastAsia="仿宋_GB2312"/>
                <w:sz w:val="28"/>
                <w:szCs w:val="28"/>
                <w:lang w:eastAsia="zh-CN"/>
              </w:rPr>
              <w:t>；</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5.根据任务要求，准备工具和材料</w:t>
            </w:r>
            <w:r>
              <w:rPr>
                <w:rFonts w:hint="eastAsia" w:ascii="仿宋_GB2312" w:hAnsi="宋体" w:eastAsia="仿宋_GB2312"/>
                <w:sz w:val="28"/>
                <w:szCs w:val="28"/>
                <w:lang w:eastAsia="zh-CN"/>
              </w:rPr>
              <w:t>，</w:t>
            </w:r>
            <w:r>
              <w:rPr>
                <w:rFonts w:hint="eastAsia" w:ascii="仿宋_GB2312" w:hAnsi="宋体" w:eastAsia="仿宋_GB2312"/>
                <w:sz w:val="28"/>
                <w:szCs w:val="28"/>
              </w:rPr>
              <w:t>准备现场工作环境</w:t>
            </w:r>
          </w:p>
          <w:p>
            <w:pPr>
              <w:spacing w:line="4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7.</w:t>
            </w:r>
            <w:r>
              <w:rPr>
                <w:rFonts w:hint="eastAsia" w:ascii="仿宋_GB2312" w:hAnsi="宋体" w:eastAsia="仿宋_GB2312"/>
                <w:sz w:val="28"/>
                <w:szCs w:val="28"/>
                <w:lang w:eastAsia="zh-CN"/>
              </w:rPr>
              <w:t>新能源汽车常见故障诊断、零部件及线路的检测；</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.施工后自检</w:t>
            </w:r>
            <w:r>
              <w:rPr>
                <w:rFonts w:hint="eastAsia" w:ascii="仿宋_GB2312" w:hAnsi="宋体" w:eastAsia="仿宋_GB2312"/>
                <w:sz w:val="28"/>
                <w:szCs w:val="28"/>
                <w:lang w:eastAsia="zh-CN"/>
              </w:rPr>
              <w:t>，</w:t>
            </w:r>
            <w:r>
              <w:rPr>
                <w:rFonts w:hint="eastAsia" w:ascii="仿宋_GB2312" w:hAnsi="宋体" w:eastAsia="仿宋_GB2312"/>
                <w:sz w:val="28"/>
                <w:szCs w:val="28"/>
              </w:rPr>
              <w:t>清理场地、归置物品</w:t>
            </w:r>
          </w:p>
          <w:p>
            <w:pPr>
              <w:spacing w:line="4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.在任务单签字确认，交付验收</w:t>
            </w:r>
            <w:r>
              <w:rPr>
                <w:rFonts w:hint="eastAsia" w:ascii="仿宋_GB2312" w:hAnsi="宋体" w:eastAsia="仿宋_GB2312"/>
                <w:sz w:val="28"/>
                <w:szCs w:val="28"/>
                <w:lang w:eastAsia="zh-CN"/>
              </w:rPr>
              <w:t>。</w:t>
            </w:r>
          </w:p>
        </w:tc>
        <w:tc>
          <w:tcPr>
            <w:tcW w:w="1949" w:type="pct"/>
            <w:gridSpan w:val="2"/>
            <w:noWrap w:val="0"/>
            <w:vAlign w:val="top"/>
          </w:tcPr>
          <w:p>
            <w:pPr>
              <w:spacing w:line="440" w:lineRule="exact"/>
              <w:ind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工具、材料、设备与资料：</w:t>
            </w:r>
          </w:p>
          <w:p>
            <w:pPr>
              <w:numPr>
                <w:ilvl w:val="0"/>
                <w:numId w:val="10"/>
              </w:num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工具：万用表、放电工具、绝缘工具套装、防护工具、测试端子等；</w:t>
            </w:r>
          </w:p>
          <w:p>
            <w:pPr>
              <w:numPr>
                <w:ilvl w:val="0"/>
                <w:numId w:val="10"/>
              </w:numPr>
              <w:spacing w:line="440" w:lineRule="exact"/>
              <w:ind w:left="0" w:leftChars="0"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材料：隔离带、警示牌、电工胶布、防护用品油（液／脂）料、修理包、零配件等；</w:t>
            </w:r>
          </w:p>
          <w:p>
            <w:pPr>
              <w:numPr>
                <w:ilvl w:val="0"/>
                <w:numId w:val="10"/>
              </w:numPr>
              <w:spacing w:line="440" w:lineRule="exact"/>
              <w:ind w:left="0" w:leftChars="0"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设备：汽车故障诊断仪、绝缘测试仪、举升机废液废品收集装置等；</w:t>
            </w:r>
          </w:p>
          <w:p>
            <w:pPr>
              <w:numPr>
                <w:ilvl w:val="0"/>
                <w:numId w:val="10"/>
              </w:numPr>
              <w:spacing w:line="440" w:lineRule="exact"/>
              <w:ind w:left="0" w:leftChars="0"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资料：维修工单、维修手册、维修案例、维修作业记录单等。</w:t>
            </w:r>
          </w:p>
          <w:p>
            <w:pPr>
              <w:numPr>
                <w:ilvl w:val="0"/>
                <w:numId w:val="0"/>
              </w:numPr>
              <w:spacing w:line="440" w:lineRule="exact"/>
              <w:ind w:leftChars="0" w:firstLine="560"/>
              <w:rPr>
                <w:rFonts w:hint="eastAsia" w:ascii="仿宋_GB2312" w:hAnsi="宋体" w:eastAsia="仿宋_GB2312"/>
                <w:b/>
                <w:bCs/>
                <w:color w:val="000000"/>
                <w:sz w:val="28"/>
                <w:szCs w:val="28"/>
                <w:lang w:val="en-US" w:eastAsia="zh-CN"/>
              </w:rPr>
            </w:pPr>
            <w:r>
              <w:rPr>
                <w:rFonts w:hint="eastAsia" w:ascii="仿宋_GB2312" w:hAnsi="宋体" w:eastAsia="仿宋_GB2312"/>
                <w:b/>
                <w:bCs/>
                <w:color w:val="000000"/>
                <w:sz w:val="28"/>
                <w:szCs w:val="28"/>
                <w:lang w:val="en-US" w:eastAsia="zh-CN"/>
              </w:rPr>
              <w:t>工作方法：</w:t>
            </w:r>
          </w:p>
          <w:p>
            <w:pPr>
              <w:numPr>
                <w:ilvl w:val="0"/>
                <w:numId w:val="0"/>
              </w:numPr>
              <w:spacing w:line="440" w:lineRule="exact"/>
              <w:ind w:leftChars="0" w:firstLine="560"/>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故障问诊法、故障再现与确认的方法、故障树与鱼骨图分析法、头脑风暴和技术报告的撰写方法。</w:t>
            </w:r>
          </w:p>
          <w:p>
            <w:pPr>
              <w:numPr>
                <w:ilvl w:val="0"/>
                <w:numId w:val="0"/>
              </w:numPr>
              <w:spacing w:line="440" w:lineRule="exact"/>
              <w:ind w:leftChars="0" w:firstLine="560"/>
              <w:rPr>
                <w:rFonts w:hint="eastAsia" w:ascii="仿宋_GB2312" w:hAnsi="宋体" w:eastAsia="仿宋_GB2312"/>
                <w:b/>
                <w:bCs/>
                <w:color w:val="000000"/>
                <w:sz w:val="28"/>
                <w:szCs w:val="28"/>
                <w:lang w:val="en-US" w:eastAsia="zh-CN"/>
              </w:rPr>
            </w:pPr>
            <w:r>
              <w:rPr>
                <w:rFonts w:hint="eastAsia" w:ascii="仿宋_GB2312" w:hAnsi="宋体" w:eastAsia="仿宋_GB2312"/>
                <w:b/>
                <w:bCs/>
                <w:color w:val="000000"/>
                <w:sz w:val="28"/>
                <w:szCs w:val="28"/>
                <w:lang w:val="en-US" w:eastAsia="zh-CN"/>
              </w:rPr>
              <w:t>劳动组织方式：</w:t>
            </w:r>
          </w:p>
          <w:p>
            <w:pPr>
              <w:numPr>
                <w:ilvl w:val="0"/>
                <w:numId w:val="0"/>
              </w:numPr>
              <w:spacing w:line="440" w:lineRule="exact"/>
              <w:ind w:leftChars="0" w:firstLine="560"/>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以小组合作的方式进行。从车间主管或班组长处领取工作任务，从技术部门领取或查阅维修资料，到配件部门领取零配件和辅料，到工具库领取专用工具及检测设备，必要时与班组长或前台接待进行维修情况的沟通。自检合格后交付班组长进行质量检验。</w:t>
            </w:r>
          </w:p>
        </w:tc>
        <w:tc>
          <w:tcPr>
            <w:tcW w:w="1673" w:type="pct"/>
            <w:gridSpan w:val="3"/>
            <w:noWrap w:val="0"/>
            <w:vAlign w:val="top"/>
          </w:tcPr>
          <w:p>
            <w:pPr>
              <w:spacing w:line="44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工作要求：</w:t>
            </w:r>
          </w:p>
          <w:p>
            <w:pPr>
              <w:numPr>
                <w:ilvl w:val="0"/>
                <w:numId w:val="0"/>
              </w:numPr>
              <w:spacing w:line="360" w:lineRule="auto"/>
              <w:rPr>
                <w:rFonts w:hint="eastAsia"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根据维修工单，明确作业内容和要求；</w:t>
            </w:r>
            <w:r>
              <w:rPr>
                <w:rFonts w:hint="eastAsia" w:ascii="仿宋_GB2312" w:hAnsi="宋体" w:eastAsia="仿宋_GB2312"/>
                <w:sz w:val="28"/>
                <w:szCs w:val="28"/>
                <w:lang w:val="en-US" w:eastAsia="zh-CN"/>
              </w:rPr>
              <w:t>2.</w:t>
            </w:r>
            <w:r>
              <w:rPr>
                <w:rFonts w:hint="eastAsia" w:ascii="仿宋_GB2312" w:hAnsi="宋体" w:eastAsia="仿宋_GB2312"/>
                <w:sz w:val="28"/>
                <w:szCs w:val="28"/>
              </w:rPr>
              <w:t>与前台、工具管理员、配件管理员、班组长等相关人员进行专业沟通；</w:t>
            </w:r>
          </w:p>
          <w:p>
            <w:pPr>
              <w:numPr>
                <w:ilvl w:val="0"/>
                <w:numId w:val="0"/>
              </w:numPr>
              <w:spacing w:line="360" w:lineRule="auto"/>
              <w:ind w:leftChars="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从满足客户对</w:t>
            </w:r>
            <w:r>
              <w:rPr>
                <w:rFonts w:hint="eastAsia" w:ascii="仿宋_GB2312" w:hAnsi="宋体" w:eastAsia="仿宋_GB2312"/>
                <w:sz w:val="28"/>
                <w:szCs w:val="28"/>
                <w:lang w:eastAsia="zh-CN"/>
              </w:rPr>
              <w:t>新能源</w:t>
            </w:r>
            <w:r>
              <w:rPr>
                <w:rFonts w:hint="eastAsia" w:ascii="仿宋_GB2312" w:hAnsi="宋体" w:eastAsia="仿宋_GB2312"/>
                <w:sz w:val="28"/>
                <w:szCs w:val="28"/>
              </w:rPr>
              <w:t>汽车</w:t>
            </w:r>
            <w:r>
              <w:rPr>
                <w:rFonts w:hint="eastAsia" w:ascii="仿宋_GB2312" w:hAnsi="宋体" w:eastAsia="仿宋_GB2312"/>
                <w:sz w:val="28"/>
                <w:szCs w:val="28"/>
                <w:lang w:eastAsia="zh-CN"/>
              </w:rPr>
              <w:t>高压维修</w:t>
            </w:r>
            <w:r>
              <w:rPr>
                <w:rFonts w:hint="eastAsia" w:ascii="仿宋_GB2312" w:hAnsi="宋体" w:eastAsia="仿宋_GB2312"/>
                <w:sz w:val="28"/>
                <w:szCs w:val="28"/>
              </w:rPr>
              <w:t>质量、经济性、维</w:t>
            </w:r>
            <w:r>
              <w:rPr>
                <w:rFonts w:hint="eastAsia" w:ascii="仿宋_GB2312" w:hAnsi="宋体" w:eastAsia="仿宋_GB2312"/>
                <w:sz w:val="28"/>
                <w:szCs w:val="28"/>
                <w:lang w:eastAsia="zh-CN"/>
              </w:rPr>
              <w:t>修</w:t>
            </w:r>
            <w:r>
              <w:rPr>
                <w:rFonts w:hint="eastAsia" w:ascii="仿宋_GB2312" w:hAnsi="宋体" w:eastAsia="仿宋_GB2312"/>
                <w:sz w:val="28"/>
                <w:szCs w:val="28"/>
              </w:rPr>
              <w:t>时间等需求的角度来制定</w:t>
            </w:r>
            <w:r>
              <w:rPr>
                <w:rFonts w:hint="eastAsia" w:ascii="仿宋_GB2312" w:hAnsi="宋体" w:eastAsia="仿宋_GB2312"/>
                <w:sz w:val="28"/>
                <w:szCs w:val="28"/>
                <w:lang w:eastAsia="zh-CN"/>
              </w:rPr>
              <w:t>故障诊断方案</w:t>
            </w:r>
            <w:r>
              <w:rPr>
                <w:rFonts w:hint="eastAsia" w:ascii="仿宋_GB2312" w:hAnsi="宋体" w:eastAsia="仿宋_GB2312"/>
                <w:sz w:val="28"/>
                <w:szCs w:val="28"/>
              </w:rPr>
              <w:t>流程；</w:t>
            </w:r>
          </w:p>
          <w:p>
            <w:pPr>
              <w:numPr>
                <w:ilvl w:val="0"/>
                <w:numId w:val="0"/>
              </w:numPr>
              <w:spacing w:line="360" w:lineRule="auto"/>
              <w:ind w:leftChars="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4.自觉遵守环保要求，兼具成本意识和创新要求；</w:t>
            </w:r>
          </w:p>
          <w:p>
            <w:pPr>
              <w:numPr>
                <w:ilvl w:val="0"/>
                <w:numId w:val="0"/>
              </w:numPr>
              <w:spacing w:line="360" w:lineRule="auto"/>
              <w:ind w:leftChars="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．检查、</w:t>
            </w:r>
            <w:r>
              <w:rPr>
                <w:rFonts w:hint="eastAsia" w:ascii="仿宋_GB2312" w:hAnsi="宋体" w:eastAsia="仿宋_GB2312"/>
                <w:sz w:val="28"/>
                <w:szCs w:val="28"/>
                <w:lang w:eastAsia="zh-CN"/>
              </w:rPr>
              <w:t>维修</w:t>
            </w:r>
            <w:r>
              <w:rPr>
                <w:rFonts w:hint="eastAsia" w:ascii="仿宋_GB2312" w:hAnsi="宋体" w:eastAsia="仿宋_GB2312"/>
                <w:sz w:val="28"/>
                <w:szCs w:val="28"/>
              </w:rPr>
              <w:t>等工作应符合标准规范；</w:t>
            </w:r>
          </w:p>
          <w:p>
            <w:pPr>
              <w:spacing w:line="360" w:lineRule="auto"/>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.按照安全操作规程应用必要的标识和隔离措施，确保现场施工安全。</w:t>
            </w:r>
          </w:p>
          <w:p>
            <w:pPr>
              <w:spacing w:line="36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6.作业过程严格执行企业安全生产制度、环保管理制度以及“7S”管理规定；</w:t>
            </w:r>
          </w:p>
          <w:p>
            <w:pPr>
              <w:spacing w:line="440" w:lineRule="exact"/>
              <w:rPr>
                <w:rFonts w:hint="eastAsia" w:ascii="仿宋_GB2312" w:hAnsi="宋体" w:eastAsia="仿宋_GB2312"/>
                <w:sz w:val="28"/>
                <w:szCs w:val="28"/>
              </w:rPr>
            </w:pPr>
            <w:r>
              <w:rPr>
                <w:rFonts w:hint="eastAsia" w:ascii="仿宋_GB2312" w:hAnsi="宋体" w:eastAsia="仿宋_GB2312"/>
                <w:sz w:val="28"/>
                <w:szCs w:val="28"/>
                <w:lang w:val="en-US" w:eastAsia="zh-CN"/>
              </w:rPr>
              <w:t>7.对已完成的工作进行记录、评价、反馈和存档。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noWrap w:val="0"/>
            <w:vAlign w:val="center"/>
          </w:tcPr>
          <w:p>
            <w:pPr>
              <w:pStyle w:val="3"/>
              <w:spacing w:before="0" w:after="0" w:line="240" w:lineRule="auto"/>
              <w:rPr>
                <w:rFonts w:hint="eastAsia" w:ascii="仿宋_GB2312" w:hAnsi="宋体"/>
                <w:b w:val="0"/>
              </w:rPr>
            </w:pPr>
            <w:r>
              <w:rPr>
                <w:rFonts w:hint="eastAsia" w:ascii="黑体" w:hAnsi="黑体" w:eastAsia="黑体"/>
                <w:b w:val="0"/>
                <w:sz w:val="30"/>
                <w:szCs w:val="30"/>
              </w:rPr>
              <w:t>三、课程目标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noWrap w:val="0"/>
            <w:vAlign w:val="top"/>
          </w:tcPr>
          <w:p>
            <w:pPr>
              <w:spacing w:line="440" w:lineRule="exact"/>
              <w:ind w:firstLine="548" w:firstLineChars="196"/>
              <w:rPr>
                <w:rFonts w:hint="eastAsia" w:ascii="仿宋_GB2312" w:hAnsi="宋体" w:eastAsia="仿宋_GB2312"/>
                <w:sz w:val="28"/>
                <w:szCs w:val="28"/>
              </w:rPr>
            </w:pPr>
            <w:r>
              <w:rPr>
                <w:rFonts w:hint="eastAsia" w:ascii="仿宋_GB2312" w:hAnsi="宋体" w:eastAsia="仿宋_GB2312"/>
                <w:sz w:val="28"/>
                <w:szCs w:val="28"/>
              </w:rPr>
              <w:t>学习完本课程后，学生应当能够胜任新能源汽车高压系统故障诊断与排除工作，并严格执行企业安全生产制度、环保管理制度和“7S”管理规定，具备解决复杂性、关键性和创造性问题的能力。包括：</w:t>
            </w:r>
          </w:p>
          <w:p>
            <w:pPr>
              <w:numPr>
                <w:ilvl w:val="0"/>
                <w:numId w:val="11"/>
              </w:numPr>
              <w:spacing w:line="440" w:lineRule="exact"/>
              <w:ind w:firstLine="548" w:firstLineChars="196"/>
              <w:rPr>
                <w:rFonts w:hint="eastAsia" w:ascii="仿宋_GB2312" w:hAnsi="宋体" w:eastAsia="仿宋_GB2312"/>
                <w:sz w:val="28"/>
                <w:szCs w:val="28"/>
              </w:rPr>
            </w:pPr>
            <w:r>
              <w:rPr>
                <w:rFonts w:hint="eastAsia" w:ascii="仿宋_GB2312" w:hAnsi="宋体" w:eastAsia="仿宋_GB2312"/>
                <w:sz w:val="28"/>
                <w:szCs w:val="28"/>
              </w:rPr>
              <w:t>能按照维修接待工作规范和专业问诊法与客户进行有效沟通，快速获取有效故障信息，结合所学知识和经验，采用故障再现法，确认车辆无法充电、无法行驶、动力蓄电池过热、无法上电等故障现象。</w:t>
            </w:r>
          </w:p>
          <w:p>
            <w:pPr>
              <w:numPr>
                <w:ilvl w:val="0"/>
                <w:numId w:val="11"/>
              </w:numPr>
              <w:spacing w:line="440" w:lineRule="exact"/>
              <w:ind w:left="0" w:leftChars="0" w:firstLine="548" w:firstLineChars="196"/>
              <w:rPr>
                <w:rFonts w:hint="eastAsia" w:ascii="仿宋_GB2312" w:hAnsi="宋体" w:eastAsia="仿宋_GB2312"/>
                <w:sz w:val="28"/>
                <w:szCs w:val="28"/>
              </w:rPr>
            </w:pPr>
            <w:r>
              <w:rPr>
                <w:rFonts w:hint="eastAsia" w:ascii="仿宋_GB2312" w:hAnsi="宋体" w:eastAsia="仿宋_GB2312"/>
                <w:sz w:val="28"/>
                <w:szCs w:val="28"/>
              </w:rPr>
              <w:t>能参照维修手册和前期获取的相关知识，通过鱼骨图、故障树、头脑风暴、案例分析、经验分析等方法，综合分析故障及发生故障的条件（环境），从满足客户对汽车维修质量、经济性、维修时间等需求的角度制定故障诊断方案。</w:t>
            </w:r>
          </w:p>
          <w:p>
            <w:pPr>
              <w:numPr>
                <w:ilvl w:val="0"/>
                <w:numId w:val="11"/>
              </w:numPr>
              <w:spacing w:line="440" w:lineRule="exact"/>
              <w:ind w:left="0" w:leftChars="0" w:firstLine="548" w:firstLineChars="196"/>
              <w:rPr>
                <w:rFonts w:hint="eastAsia" w:ascii="仿宋_GB2312" w:hAnsi="宋体" w:eastAsia="仿宋_GB2312"/>
                <w:sz w:val="28"/>
                <w:szCs w:val="28"/>
              </w:rPr>
            </w:pPr>
            <w:r>
              <w:rPr>
                <w:rFonts w:hint="eastAsia" w:ascii="仿宋_GB2312" w:hAnsi="宋体" w:eastAsia="仿宋_GB2312"/>
                <w:sz w:val="28"/>
                <w:szCs w:val="28"/>
              </w:rPr>
              <w:t>能按照故障诊断技术规范标准，借助维修手册，正确使用检测设备，通过部件替换、数据对比等方法，在规定时间内完成故障点的查找及修复方案的制定，在客户确认修复方案后，根据维修作业规范要求，实施维修作业。</w:t>
            </w:r>
          </w:p>
          <w:p>
            <w:pPr>
              <w:numPr>
                <w:ilvl w:val="0"/>
                <w:numId w:val="11"/>
              </w:numPr>
              <w:spacing w:line="440" w:lineRule="exact"/>
              <w:ind w:left="0" w:leftChars="0" w:firstLine="548" w:firstLineChars="196"/>
              <w:rPr>
                <w:rFonts w:hint="eastAsia" w:ascii="仿宋_GB2312" w:hAnsi="宋体" w:eastAsia="仿宋_GB2312"/>
                <w:sz w:val="28"/>
                <w:szCs w:val="28"/>
              </w:rPr>
            </w:pPr>
            <w:r>
              <w:rPr>
                <w:rFonts w:hint="eastAsia" w:ascii="仿宋_GB2312" w:hAnsi="宋体" w:eastAsia="仿宋_GB2312"/>
                <w:sz w:val="28"/>
                <w:szCs w:val="28"/>
              </w:rPr>
              <w:t>能根据新能源汽车高压系统运行相关检修要求，按行业检验标准对维修作业质量进行自检，在维修工单上填写检验结果、检修建议等信息并签字确认后，交付车间质检员（或公司质检部门）检验。</w:t>
            </w:r>
          </w:p>
          <w:p>
            <w:pPr>
              <w:numPr>
                <w:ilvl w:val="0"/>
                <w:numId w:val="0"/>
              </w:num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5．能展示故障诊断的技术要点，撰写案例分析及维修工作总结报告，对新能源汽车高压系统故障的诊断方法组织培训和研讨，总结工作经验，分析不足，提出改进措施。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noWrap w:val="0"/>
            <w:vAlign w:val="center"/>
          </w:tcPr>
          <w:p>
            <w:pPr>
              <w:pStyle w:val="3"/>
              <w:spacing w:before="0" w:after="0" w:line="240" w:lineRule="auto"/>
              <w:rPr>
                <w:rFonts w:hint="eastAsia" w:ascii="仿宋_GB2312" w:hAnsi="宋体"/>
              </w:rPr>
            </w:pPr>
            <w:r>
              <w:rPr>
                <w:rFonts w:hint="eastAsia" w:ascii="黑体" w:hAnsi="黑体" w:eastAsia="黑体"/>
                <w:b w:val="0"/>
                <w:sz w:val="30"/>
                <w:szCs w:val="30"/>
              </w:rPr>
              <w:t>四、学习内容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noWrap w:val="0"/>
            <w:vAlign w:val="top"/>
          </w:tcPr>
          <w:p>
            <w:pPr>
              <w:spacing w:line="440" w:lineRule="exact"/>
              <w:ind w:firstLine="560" w:firstLineChars="200"/>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rPr>
              <w:t>本课程的主要学习内容包括</w:t>
            </w:r>
            <w:r>
              <w:rPr>
                <w:rFonts w:hint="eastAsia" w:ascii="仿宋_GB2312" w:hAnsi="宋体" w:eastAsia="仿宋_GB2312" w:cs="Times New Roman"/>
                <w:sz w:val="28"/>
                <w:szCs w:val="28"/>
                <w:lang w:eastAsia="zh-CN"/>
              </w:rPr>
              <w:t>：</w:t>
            </w:r>
          </w:p>
          <w:p>
            <w:pPr>
              <w:numPr>
                <w:ilvl w:val="0"/>
                <w:numId w:val="12"/>
              </w:numPr>
              <w:spacing w:line="44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故障现象的确认与客户有效沟通的技巧、故障现象的再现方法、故障现象的确认。</w:t>
            </w:r>
          </w:p>
          <w:p>
            <w:pPr>
              <w:numPr>
                <w:ilvl w:val="0"/>
                <w:numId w:val="12"/>
              </w:numPr>
              <w:spacing w:line="440" w:lineRule="exact"/>
              <w:ind w:left="0" w:leftChars="0"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故障诊断方案的制定枚障树、鱼骨图、流程图等分析工具的运用、故障诊断方案的制定。</w:t>
            </w:r>
          </w:p>
          <w:p>
            <w:pPr>
              <w:numPr>
                <w:ilvl w:val="0"/>
                <w:numId w:val="12"/>
              </w:numPr>
              <w:spacing w:line="440" w:lineRule="exact"/>
              <w:ind w:left="0" w:leftChars="0"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高压系统的检测与分析故障诊断仪、绝缘测试仪、举升机、万用表、放电工具、绝缘工具套装、防护工具、测试端子等设备的使用与检测数据的分析。</w:t>
            </w:r>
          </w:p>
          <w:p>
            <w:pPr>
              <w:numPr>
                <w:ilvl w:val="0"/>
                <w:numId w:val="12"/>
              </w:numPr>
              <w:spacing w:line="440" w:lineRule="exact"/>
              <w:ind w:left="0" w:leftChars="0"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故障的诊断新能源汽车无法充电故障诊断任务的主要学习内容，充电系统的工作原理，充电插座、车载充电机、充电电缆、动力需电池、控制线路等的检测和数据分析。新能源汽车无法行驶故障诊断任务的主要学习内容：电力驱动系统、高压电控总成、动力着电池系统、整车控制器、 CAN 总线系统和控制线路等的检测和数握分析。新能源汽车动力蓄电池过热故障诊断任务的主要学习内容；动力都电池、水泵、收热器、收热风扇、冷却回路和控制线路等的检测和数据分析。新能源汽车无法上电故障诊断任务的主要学习内容；动力潜电池、高压互锁、高压系统绝缘性能、车载网络系统和控制线路的检测和数据分析。</w:t>
            </w:r>
          </w:p>
          <w:p>
            <w:pPr>
              <w:numPr>
                <w:ilvl w:val="0"/>
                <w:numId w:val="12"/>
              </w:numPr>
              <w:spacing w:line="440" w:lineRule="exact"/>
              <w:ind w:left="0" w:leftChars="0" w:firstLine="560" w:firstLineChars="200"/>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rPr>
              <w:t>修复方案的制定</w:t>
            </w:r>
            <w:r>
              <w:rPr>
                <w:rFonts w:hint="eastAsia" w:ascii="仿宋_GB2312" w:hAnsi="宋体" w:eastAsia="仿宋_GB2312" w:cs="Times New Roman"/>
                <w:sz w:val="28"/>
                <w:szCs w:val="28"/>
                <w:lang w:eastAsia="zh-CN"/>
              </w:rPr>
              <w:t>；</w:t>
            </w:r>
          </w:p>
          <w:p>
            <w:pPr>
              <w:numPr>
                <w:ilvl w:val="0"/>
                <w:numId w:val="12"/>
              </w:numPr>
              <w:spacing w:line="440" w:lineRule="exact"/>
              <w:ind w:left="0" w:leftChars="0" w:firstLine="560" w:firstLineChars="200"/>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rPr>
              <w:t>故障的修复</w:t>
            </w:r>
            <w:r>
              <w:rPr>
                <w:rFonts w:hint="eastAsia" w:ascii="仿宋_GB2312" w:hAnsi="宋体" w:eastAsia="仿宋_GB2312" w:cs="Times New Roman"/>
                <w:sz w:val="28"/>
                <w:szCs w:val="28"/>
                <w:lang w:eastAsia="zh-CN"/>
              </w:rPr>
              <w:t>；</w:t>
            </w:r>
          </w:p>
          <w:p>
            <w:pPr>
              <w:numPr>
                <w:ilvl w:val="0"/>
                <w:numId w:val="0"/>
              </w:numPr>
              <w:spacing w:line="4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cs="Times New Roman"/>
                <w:sz w:val="28"/>
                <w:szCs w:val="28"/>
              </w:rPr>
              <w:t>7．修复作业质量检验及修报告的撰写</w:t>
            </w:r>
            <w:r>
              <w:rPr>
                <w:rFonts w:hint="eastAsia" w:ascii="仿宋_GB2312" w:hAnsi="宋体" w:eastAsia="仿宋_GB2312"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noWrap w:val="0"/>
            <w:vAlign w:val="center"/>
          </w:tcPr>
          <w:p>
            <w:pPr>
              <w:pStyle w:val="3"/>
              <w:spacing w:before="0" w:after="0" w:line="240" w:lineRule="auto"/>
              <w:rPr>
                <w:rFonts w:hint="eastAsia" w:ascii="仿宋_GB2312" w:hAnsi="宋体"/>
                <w:b w:val="0"/>
              </w:rPr>
            </w:pPr>
            <w:r>
              <w:rPr>
                <w:rFonts w:hint="eastAsia" w:ascii="黑体" w:hAnsi="黑体" w:eastAsia="黑体"/>
                <w:b w:val="0"/>
                <w:sz w:val="30"/>
                <w:szCs w:val="30"/>
              </w:rPr>
              <w:t>五、参考性学习任务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40" w:lineRule="exact"/>
              <w:jc w:val="center"/>
              <w:rPr>
                <w:rFonts w:hint="eastAsia" w:ascii="仿宋_GB2312" w:hAnsi="宋体" w:eastAsia="仿宋_GB2312"/>
                <w:b/>
                <w:sz w:val="28"/>
                <w:szCs w:val="28"/>
              </w:rPr>
            </w:pPr>
            <w:r>
              <w:rPr>
                <w:rFonts w:hint="eastAsia" w:ascii="仿宋_GB2312" w:hAnsi="宋体" w:eastAsia="仿宋_GB2312"/>
                <w:b/>
                <w:sz w:val="28"/>
                <w:szCs w:val="28"/>
              </w:rPr>
              <w:t>序号</w:t>
            </w:r>
          </w:p>
        </w:tc>
        <w:tc>
          <w:tcPr>
            <w:tcW w:w="3873" w:type="pct"/>
            <w:gridSpan w:val="5"/>
            <w:noWrap w:val="0"/>
            <w:vAlign w:val="center"/>
          </w:tcPr>
          <w:p>
            <w:pPr>
              <w:spacing w:line="440" w:lineRule="exact"/>
              <w:jc w:val="center"/>
              <w:rPr>
                <w:rFonts w:hint="eastAsia" w:ascii="仿宋_GB2312" w:hAnsi="宋体" w:eastAsia="仿宋_GB2312"/>
                <w:b/>
                <w:sz w:val="28"/>
                <w:szCs w:val="28"/>
              </w:rPr>
            </w:pPr>
            <w:r>
              <w:rPr>
                <w:rFonts w:hint="eastAsia" w:ascii="仿宋_GB2312" w:hAnsi="宋体" w:eastAsia="仿宋_GB2312"/>
                <w:b/>
                <w:sz w:val="28"/>
                <w:szCs w:val="28"/>
              </w:rPr>
              <w:t>名  称</w:t>
            </w:r>
          </w:p>
        </w:tc>
        <w:tc>
          <w:tcPr>
            <w:tcW w:w="630" w:type="pct"/>
            <w:noWrap w:val="0"/>
            <w:vAlign w:val="center"/>
          </w:tcPr>
          <w:p>
            <w:pPr>
              <w:spacing w:line="440" w:lineRule="exact"/>
              <w:jc w:val="center"/>
              <w:rPr>
                <w:rFonts w:hint="eastAsia" w:ascii="仿宋_GB2312" w:hAnsi="宋体" w:eastAsia="仿宋_GB2312"/>
                <w:b/>
                <w:sz w:val="28"/>
                <w:szCs w:val="28"/>
              </w:rPr>
            </w:pPr>
            <w:r>
              <w:rPr>
                <w:rFonts w:hint="eastAsia" w:ascii="仿宋_GB2312" w:hAnsi="宋体" w:eastAsia="仿宋_GB2312"/>
                <w:b/>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3873" w:type="pct"/>
            <w:gridSpan w:val="5"/>
            <w:noWrap w:val="0"/>
            <w:vAlign w:val="center"/>
          </w:tcPr>
          <w:p>
            <w:pPr>
              <w:spacing w:line="400" w:lineRule="exact"/>
              <w:jc w:val="center"/>
              <w:rPr>
                <w:rFonts w:hint="eastAsia" w:ascii="仿宋_GB2312" w:hAnsi="宋体" w:eastAsia="仿宋_GB2312"/>
                <w:sz w:val="28"/>
                <w:szCs w:val="28"/>
                <w:lang w:eastAsia="zh-CN"/>
              </w:rPr>
            </w:pPr>
            <w:r>
              <w:rPr>
                <w:rFonts w:ascii="Helvetica" w:hAnsi="Helvetica" w:eastAsia="Helvetica" w:cs="Helvetica"/>
                <w:i w:val="0"/>
                <w:iCs w:val="0"/>
                <w:caps w:val="0"/>
                <w:color w:val="333333"/>
                <w:spacing w:val="0"/>
                <w:sz w:val="21"/>
                <w:szCs w:val="21"/>
                <w:shd w:val="clear" w:color="auto" w:fill="FFFFFF"/>
              </w:rPr>
              <w:t>绝缘故障诊断与排除</w:t>
            </w:r>
            <w:r>
              <w:rPr>
                <w:rFonts w:hint="default" w:ascii="Helvetica" w:hAnsi="Helvetica" w:eastAsia="Helvetica" w:cs="Helvetica"/>
                <w:i w:val="0"/>
                <w:iCs w:val="0"/>
                <w:caps w:val="0"/>
                <w:color w:val="333333"/>
                <w:spacing w:val="0"/>
                <w:sz w:val="21"/>
                <w:szCs w:val="21"/>
                <w:shd w:val="clear" w:color="auto" w:fill="FFFFFF"/>
              </w:rPr>
              <w:t> </w:t>
            </w:r>
          </w:p>
        </w:tc>
        <w:tc>
          <w:tcPr>
            <w:tcW w:w="630" w:type="pct"/>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3873" w:type="pct"/>
            <w:gridSpan w:val="5"/>
            <w:noWrap w:val="0"/>
            <w:vAlign w:val="center"/>
          </w:tcPr>
          <w:p>
            <w:pPr>
              <w:spacing w:line="400" w:lineRule="exact"/>
              <w:jc w:val="center"/>
              <w:rPr>
                <w:rFonts w:hint="eastAsia" w:ascii="仿宋_GB2312" w:hAnsi="宋体" w:eastAsia="仿宋_GB2312"/>
                <w:sz w:val="28"/>
                <w:szCs w:val="28"/>
                <w:lang w:eastAsia="zh-CN"/>
              </w:rPr>
            </w:pPr>
            <w:r>
              <w:rPr>
                <w:rFonts w:ascii="Helvetica" w:hAnsi="Helvetica" w:eastAsia="Helvetica" w:cs="Helvetica"/>
                <w:i w:val="0"/>
                <w:iCs w:val="0"/>
                <w:caps w:val="0"/>
                <w:color w:val="333333"/>
                <w:spacing w:val="0"/>
                <w:sz w:val="21"/>
                <w:szCs w:val="21"/>
                <w:shd w:val="clear" w:color="auto" w:fill="FFFFFF"/>
              </w:rPr>
              <w:t>高压互锁故障诊断与排除</w:t>
            </w:r>
          </w:p>
        </w:tc>
        <w:tc>
          <w:tcPr>
            <w:tcW w:w="630"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3</w:t>
            </w:r>
          </w:p>
        </w:tc>
        <w:tc>
          <w:tcPr>
            <w:tcW w:w="3873" w:type="pct"/>
            <w:gridSpan w:val="5"/>
            <w:noWrap w:val="0"/>
            <w:vAlign w:val="center"/>
          </w:tcPr>
          <w:p>
            <w:pPr>
              <w:spacing w:line="400" w:lineRule="exact"/>
              <w:jc w:val="center"/>
              <w:rPr>
                <w:rFonts w:hint="eastAsia" w:ascii="仿宋_GB2312" w:hAnsi="宋体" w:eastAsia="仿宋_GB2312"/>
                <w:sz w:val="28"/>
                <w:szCs w:val="28"/>
              </w:rPr>
            </w:pPr>
            <w:r>
              <w:rPr>
                <w:rFonts w:ascii="Helvetica" w:hAnsi="Helvetica" w:eastAsia="Helvetica" w:cs="Helvetica"/>
                <w:i w:val="0"/>
                <w:iCs w:val="0"/>
                <w:caps w:val="0"/>
                <w:color w:val="333333"/>
                <w:spacing w:val="0"/>
                <w:sz w:val="21"/>
                <w:szCs w:val="21"/>
                <w:shd w:val="clear" w:color="auto" w:fill="FFFFFF"/>
              </w:rPr>
              <w:t>慢充不充电的故障诊断与排除</w:t>
            </w:r>
            <w:r>
              <w:rPr>
                <w:rFonts w:hint="default" w:ascii="Helvetica" w:hAnsi="Helvetica" w:eastAsia="Helvetica" w:cs="Helvetica"/>
                <w:i w:val="0"/>
                <w:iCs w:val="0"/>
                <w:caps w:val="0"/>
                <w:color w:val="333333"/>
                <w:spacing w:val="0"/>
                <w:sz w:val="21"/>
                <w:szCs w:val="21"/>
                <w:shd w:val="clear" w:color="auto" w:fill="FFFFFF"/>
              </w:rPr>
              <w:t> </w:t>
            </w:r>
          </w:p>
        </w:tc>
        <w:tc>
          <w:tcPr>
            <w:tcW w:w="630" w:type="pct"/>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c>
          <w:tcPr>
            <w:tcW w:w="3873" w:type="pct"/>
            <w:gridSpan w:val="5"/>
            <w:noWrap w:val="0"/>
            <w:vAlign w:val="center"/>
          </w:tcPr>
          <w:p>
            <w:pPr>
              <w:spacing w:line="400" w:lineRule="exact"/>
              <w:jc w:val="center"/>
              <w:rPr>
                <w:rFonts w:hint="eastAsia" w:ascii="仿宋_GB2312" w:hAnsi="宋体" w:eastAsia="仿宋_GB2312"/>
                <w:sz w:val="28"/>
                <w:szCs w:val="28"/>
                <w:lang w:eastAsia="zh-CN"/>
              </w:rPr>
            </w:pPr>
            <w:r>
              <w:rPr>
                <w:rFonts w:ascii="Helvetica" w:hAnsi="Helvetica" w:eastAsia="Helvetica" w:cs="Helvetica"/>
                <w:i w:val="0"/>
                <w:iCs w:val="0"/>
                <w:caps w:val="0"/>
                <w:color w:val="333333"/>
                <w:spacing w:val="0"/>
                <w:sz w:val="21"/>
                <w:szCs w:val="21"/>
                <w:shd w:val="clear" w:color="auto" w:fill="FFFFFF"/>
              </w:rPr>
              <w:t>快充不充电的故障排除</w:t>
            </w:r>
          </w:p>
        </w:tc>
        <w:tc>
          <w:tcPr>
            <w:tcW w:w="630" w:type="pct"/>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p>
        </w:tc>
        <w:tc>
          <w:tcPr>
            <w:tcW w:w="3873" w:type="pct"/>
            <w:gridSpan w:val="5"/>
            <w:noWrap w:val="0"/>
            <w:vAlign w:val="center"/>
          </w:tcPr>
          <w:p>
            <w:pPr>
              <w:spacing w:line="400" w:lineRule="exact"/>
              <w:jc w:val="center"/>
              <w:rPr>
                <w:rFonts w:hint="eastAsia" w:ascii="仿宋_GB2312" w:hAnsi="宋体" w:eastAsia="仿宋_GB2312"/>
                <w:sz w:val="28"/>
                <w:szCs w:val="28"/>
                <w:lang w:eastAsia="zh-CN"/>
              </w:rPr>
            </w:pPr>
            <w:r>
              <w:rPr>
                <w:rFonts w:ascii="Helvetica" w:hAnsi="Helvetica" w:eastAsia="Helvetica" w:cs="Helvetica"/>
                <w:i w:val="0"/>
                <w:iCs w:val="0"/>
                <w:caps w:val="0"/>
                <w:color w:val="333333"/>
                <w:spacing w:val="0"/>
                <w:sz w:val="21"/>
                <w:szCs w:val="21"/>
                <w:shd w:val="clear" w:color="auto" w:fill="FFFFFF"/>
              </w:rPr>
              <w:t>慢充充电正常但无充电连接指示灯的诊断与排除</w:t>
            </w:r>
            <w:r>
              <w:rPr>
                <w:rFonts w:hint="default" w:ascii="Helvetica" w:hAnsi="Helvetica" w:eastAsia="Helvetica" w:cs="Helvetica"/>
                <w:i w:val="0"/>
                <w:iCs w:val="0"/>
                <w:caps w:val="0"/>
                <w:color w:val="333333"/>
                <w:spacing w:val="0"/>
                <w:sz w:val="21"/>
                <w:szCs w:val="21"/>
                <w:shd w:val="clear" w:color="auto" w:fill="FFFFFF"/>
              </w:rPr>
              <w:t> </w:t>
            </w:r>
          </w:p>
        </w:tc>
        <w:tc>
          <w:tcPr>
            <w:tcW w:w="630" w:type="pct"/>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c>
          <w:tcPr>
            <w:tcW w:w="3873" w:type="pct"/>
            <w:gridSpan w:val="5"/>
            <w:noWrap w:val="0"/>
            <w:vAlign w:val="center"/>
          </w:tcPr>
          <w:p>
            <w:pPr>
              <w:spacing w:line="400" w:lineRule="exact"/>
              <w:jc w:val="center"/>
              <w:rPr>
                <w:rFonts w:hint="eastAsia" w:ascii="仿宋_GB2312" w:hAnsi="宋体" w:eastAsia="仿宋_GB2312"/>
                <w:sz w:val="28"/>
                <w:szCs w:val="28"/>
                <w:lang w:eastAsia="zh-CN"/>
              </w:rPr>
            </w:pPr>
            <w:r>
              <w:rPr>
                <w:rFonts w:ascii="Helvetica" w:hAnsi="Helvetica" w:eastAsia="Helvetica" w:cs="Helvetica"/>
                <w:i w:val="0"/>
                <w:iCs w:val="0"/>
                <w:caps w:val="0"/>
                <w:color w:val="333333"/>
                <w:spacing w:val="0"/>
                <w:sz w:val="21"/>
                <w:szCs w:val="21"/>
                <w:shd w:val="clear" w:color="auto" w:fill="FFFFFF"/>
              </w:rPr>
              <w:t>慢充充电仪表无充电界面的诊断与排除</w:t>
            </w:r>
          </w:p>
        </w:tc>
        <w:tc>
          <w:tcPr>
            <w:tcW w:w="630" w:type="pct"/>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w:t>
            </w:r>
          </w:p>
        </w:tc>
        <w:tc>
          <w:tcPr>
            <w:tcW w:w="3873" w:type="pct"/>
            <w:gridSpan w:val="5"/>
            <w:noWrap w:val="0"/>
            <w:vAlign w:val="center"/>
          </w:tcPr>
          <w:p>
            <w:pPr>
              <w:spacing w:line="400" w:lineRule="exact"/>
              <w:jc w:val="center"/>
              <w:rPr>
                <w:rFonts w:hint="eastAsia" w:ascii="仿宋_GB2312" w:hAnsi="宋体" w:eastAsia="仿宋_GB2312"/>
                <w:sz w:val="28"/>
                <w:szCs w:val="28"/>
                <w:lang w:eastAsia="zh-CN"/>
              </w:rPr>
            </w:pPr>
            <w:r>
              <w:rPr>
                <w:rFonts w:ascii="Helvetica" w:hAnsi="Helvetica" w:eastAsia="Helvetica" w:cs="Helvetica"/>
                <w:i w:val="0"/>
                <w:iCs w:val="0"/>
                <w:caps w:val="0"/>
                <w:color w:val="333333"/>
                <w:spacing w:val="0"/>
                <w:sz w:val="21"/>
                <w:szCs w:val="21"/>
                <w:shd w:val="clear" w:color="auto" w:fill="FFFFFF"/>
              </w:rPr>
              <w:t>充电指示灯常亮的诊断与排除</w:t>
            </w:r>
          </w:p>
        </w:tc>
        <w:tc>
          <w:tcPr>
            <w:tcW w:w="630" w:type="pct"/>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w:t>
            </w:r>
          </w:p>
        </w:tc>
        <w:tc>
          <w:tcPr>
            <w:tcW w:w="3873" w:type="pct"/>
            <w:gridSpan w:val="5"/>
            <w:noWrap w:val="0"/>
            <w:vAlign w:val="center"/>
          </w:tcPr>
          <w:p>
            <w:pPr>
              <w:spacing w:line="400" w:lineRule="exact"/>
              <w:jc w:val="center"/>
              <w:rPr>
                <w:rFonts w:hint="eastAsia" w:ascii="仿宋_GB2312" w:hAnsi="宋体" w:eastAsia="仿宋_GB2312"/>
                <w:sz w:val="28"/>
                <w:szCs w:val="28"/>
              </w:rPr>
            </w:pPr>
            <w:r>
              <w:rPr>
                <w:rFonts w:ascii="Helvetica" w:hAnsi="Helvetica" w:eastAsia="Helvetica" w:cs="Helvetica"/>
                <w:i w:val="0"/>
                <w:iCs w:val="0"/>
                <w:caps w:val="0"/>
                <w:color w:val="333333"/>
                <w:spacing w:val="0"/>
                <w:sz w:val="21"/>
                <w:szCs w:val="21"/>
                <w:shd w:val="clear" w:color="auto" w:fill="FFFFFF"/>
              </w:rPr>
              <w:t>充电界面正常但充电电流为零的诊断与排除</w:t>
            </w:r>
          </w:p>
        </w:tc>
        <w:tc>
          <w:tcPr>
            <w:tcW w:w="630" w:type="pct"/>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9</w:t>
            </w:r>
          </w:p>
        </w:tc>
        <w:tc>
          <w:tcPr>
            <w:tcW w:w="3873" w:type="pct"/>
            <w:gridSpan w:val="5"/>
            <w:noWrap w:val="0"/>
            <w:vAlign w:val="center"/>
          </w:tcPr>
          <w:p>
            <w:pPr>
              <w:spacing w:line="400" w:lineRule="exact"/>
              <w:jc w:val="center"/>
              <w:rPr>
                <w:rFonts w:hint="eastAsia" w:ascii="仿宋_GB2312" w:hAnsi="宋体" w:eastAsia="仿宋_GB2312"/>
                <w:sz w:val="28"/>
                <w:szCs w:val="28"/>
                <w:lang w:eastAsia="zh-CN"/>
              </w:rPr>
            </w:pPr>
            <w:r>
              <w:rPr>
                <w:rFonts w:ascii="Helvetica" w:hAnsi="Helvetica" w:eastAsia="Helvetica" w:cs="Helvetica"/>
                <w:i w:val="0"/>
                <w:iCs w:val="0"/>
                <w:caps w:val="0"/>
                <w:color w:val="333333"/>
                <w:spacing w:val="0"/>
                <w:sz w:val="21"/>
                <w:szCs w:val="21"/>
                <w:shd w:val="clear" w:color="auto" w:fill="FFFFFF"/>
              </w:rPr>
              <w:t>快充桩与车辆无法通信的诊断与排除</w:t>
            </w:r>
          </w:p>
        </w:tc>
        <w:tc>
          <w:tcPr>
            <w:tcW w:w="630" w:type="pct"/>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10</w:t>
            </w:r>
          </w:p>
        </w:tc>
        <w:tc>
          <w:tcPr>
            <w:tcW w:w="3873" w:type="pct"/>
            <w:gridSpan w:val="5"/>
            <w:noWrap w:val="0"/>
            <w:vAlign w:val="center"/>
          </w:tcPr>
          <w:p>
            <w:pPr>
              <w:spacing w:line="400" w:lineRule="exact"/>
              <w:jc w:val="center"/>
              <w:rPr>
                <w:rFonts w:hint="eastAsia" w:ascii="仿宋_GB2312" w:hAnsi="宋体" w:eastAsia="仿宋_GB2312"/>
                <w:sz w:val="28"/>
                <w:szCs w:val="28"/>
                <w:lang w:eastAsia="zh-CN"/>
              </w:rPr>
            </w:pPr>
            <w:r>
              <w:rPr>
                <w:rFonts w:ascii="Helvetica" w:hAnsi="Helvetica" w:eastAsia="Helvetica" w:cs="Helvetica"/>
                <w:i w:val="0"/>
                <w:iCs w:val="0"/>
                <w:caps w:val="0"/>
                <w:color w:val="333333"/>
                <w:spacing w:val="0"/>
                <w:sz w:val="21"/>
                <w:szCs w:val="21"/>
                <w:shd w:val="clear" w:color="auto" w:fill="FFFFFF"/>
              </w:rPr>
              <w:t> </w:t>
            </w:r>
            <w:r>
              <w:rPr>
                <w:rFonts w:hint="default" w:ascii="Helvetica" w:hAnsi="Helvetica" w:eastAsia="Helvetica" w:cs="Helvetica"/>
                <w:i w:val="0"/>
                <w:iCs w:val="0"/>
                <w:caps w:val="0"/>
                <w:color w:val="333333"/>
                <w:spacing w:val="0"/>
                <w:sz w:val="21"/>
                <w:szCs w:val="21"/>
                <w:shd w:val="clear" w:color="auto" w:fill="FFFFFF"/>
              </w:rPr>
              <w:t>低压蓄电池警告灯点亮的诊断与排除</w:t>
            </w:r>
          </w:p>
        </w:tc>
        <w:tc>
          <w:tcPr>
            <w:tcW w:w="630" w:type="pct"/>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11</w:t>
            </w:r>
          </w:p>
        </w:tc>
        <w:tc>
          <w:tcPr>
            <w:tcW w:w="3873" w:type="pct"/>
            <w:gridSpan w:val="5"/>
            <w:noWrap w:val="0"/>
            <w:vAlign w:val="center"/>
          </w:tcPr>
          <w:p>
            <w:pPr>
              <w:spacing w:line="400" w:lineRule="exact"/>
              <w:jc w:val="center"/>
              <w:rPr>
                <w:rFonts w:hint="eastAsia" w:ascii="仿宋_GB2312" w:hAnsi="宋体" w:eastAsia="仿宋_GB2312"/>
                <w:sz w:val="28"/>
                <w:szCs w:val="28"/>
                <w:lang w:eastAsia="zh-CN"/>
              </w:rPr>
            </w:pPr>
            <w:r>
              <w:rPr>
                <w:rFonts w:ascii="Helvetica" w:hAnsi="Helvetica" w:eastAsia="Helvetica" w:cs="Helvetica"/>
                <w:i w:val="0"/>
                <w:iCs w:val="0"/>
                <w:caps w:val="0"/>
                <w:color w:val="333333"/>
                <w:spacing w:val="0"/>
                <w:sz w:val="21"/>
                <w:szCs w:val="21"/>
                <w:shd w:val="clear" w:color="auto" w:fill="FFFFFF"/>
              </w:rPr>
              <w:t>车辆 READY 灯熄灭 无法行驶的诊断与排除</w:t>
            </w:r>
          </w:p>
        </w:tc>
        <w:tc>
          <w:tcPr>
            <w:tcW w:w="630" w:type="pct"/>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12</w:t>
            </w:r>
          </w:p>
        </w:tc>
        <w:tc>
          <w:tcPr>
            <w:tcW w:w="3873" w:type="pct"/>
            <w:gridSpan w:val="5"/>
            <w:noWrap w:val="0"/>
            <w:vAlign w:val="center"/>
          </w:tcPr>
          <w:p>
            <w:pPr>
              <w:spacing w:line="400" w:lineRule="exact"/>
              <w:jc w:val="center"/>
              <w:rPr>
                <w:rFonts w:hint="eastAsia" w:ascii="仿宋_GB2312" w:hAnsi="宋体" w:eastAsia="仿宋_GB2312"/>
                <w:sz w:val="28"/>
                <w:szCs w:val="28"/>
                <w:lang w:eastAsia="zh-CN"/>
              </w:rPr>
            </w:pPr>
            <w:r>
              <w:rPr>
                <w:rFonts w:ascii="Helvetica" w:hAnsi="Helvetica" w:eastAsia="Helvetica" w:cs="Helvetica"/>
                <w:i w:val="0"/>
                <w:iCs w:val="0"/>
                <w:caps w:val="0"/>
                <w:color w:val="333333"/>
                <w:spacing w:val="0"/>
                <w:sz w:val="21"/>
                <w:szCs w:val="21"/>
                <w:shd w:val="clear" w:color="auto" w:fill="FFFFFF"/>
              </w:rPr>
              <w:t>续驶里程短的诊断与排除</w:t>
            </w:r>
          </w:p>
        </w:tc>
        <w:tc>
          <w:tcPr>
            <w:tcW w:w="630" w:type="pct"/>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13</w:t>
            </w:r>
          </w:p>
        </w:tc>
        <w:tc>
          <w:tcPr>
            <w:tcW w:w="3873" w:type="pct"/>
            <w:gridSpan w:val="5"/>
            <w:noWrap w:val="0"/>
            <w:vAlign w:val="center"/>
          </w:tcPr>
          <w:p>
            <w:pPr>
              <w:spacing w:line="400" w:lineRule="exact"/>
              <w:jc w:val="center"/>
              <w:rPr>
                <w:rFonts w:hint="eastAsia" w:ascii="仿宋_GB2312" w:hAnsi="宋体" w:eastAsia="仿宋_GB2312"/>
                <w:sz w:val="28"/>
                <w:szCs w:val="28"/>
                <w:lang w:eastAsia="zh-CN"/>
              </w:rPr>
            </w:pPr>
            <w:r>
              <w:rPr>
                <w:rFonts w:ascii="Helvetica" w:hAnsi="Helvetica" w:eastAsia="Helvetica" w:cs="Helvetica"/>
                <w:i w:val="0"/>
                <w:iCs w:val="0"/>
                <w:caps w:val="0"/>
                <w:color w:val="333333"/>
                <w:spacing w:val="0"/>
                <w:sz w:val="21"/>
                <w:szCs w:val="21"/>
                <w:shd w:val="clear" w:color="auto" w:fill="FFFFFF"/>
              </w:rPr>
              <w:t>车辆 SOC 为零且提示尽快进行充电的诊断与排除</w:t>
            </w:r>
          </w:p>
        </w:tc>
        <w:tc>
          <w:tcPr>
            <w:tcW w:w="630" w:type="pct"/>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14</w:t>
            </w:r>
          </w:p>
        </w:tc>
        <w:tc>
          <w:tcPr>
            <w:tcW w:w="3873" w:type="pct"/>
            <w:gridSpan w:val="5"/>
            <w:noWrap w:val="0"/>
            <w:vAlign w:val="center"/>
          </w:tcPr>
          <w:p>
            <w:pPr>
              <w:spacing w:line="400" w:lineRule="exact"/>
              <w:jc w:val="center"/>
              <w:rPr>
                <w:rFonts w:hint="eastAsia" w:ascii="仿宋_GB2312" w:hAnsi="宋体" w:eastAsia="仿宋_GB2312"/>
                <w:sz w:val="28"/>
                <w:szCs w:val="28"/>
                <w:lang w:eastAsia="zh-CN"/>
              </w:rPr>
            </w:pPr>
            <w:r>
              <w:rPr>
                <w:rFonts w:ascii="Helvetica" w:hAnsi="Helvetica" w:eastAsia="Helvetica" w:cs="Helvetica"/>
                <w:i w:val="0"/>
                <w:iCs w:val="0"/>
                <w:caps w:val="0"/>
                <w:color w:val="333333"/>
                <w:spacing w:val="0"/>
                <w:sz w:val="21"/>
                <w:szCs w:val="21"/>
                <w:shd w:val="clear" w:color="auto" w:fill="FFFFFF"/>
              </w:rPr>
              <w:t> </w:t>
            </w:r>
            <w:r>
              <w:rPr>
                <w:rFonts w:hint="default" w:ascii="Helvetica" w:hAnsi="Helvetica" w:eastAsia="Helvetica" w:cs="Helvetica"/>
                <w:i w:val="0"/>
                <w:iCs w:val="0"/>
                <w:caps w:val="0"/>
                <w:color w:val="333333"/>
                <w:spacing w:val="0"/>
                <w:sz w:val="21"/>
                <w:szCs w:val="21"/>
                <w:shd w:val="clear" w:color="auto" w:fill="FFFFFF"/>
              </w:rPr>
              <w:t>驱动电机系统故障诊断 </w:t>
            </w:r>
          </w:p>
        </w:tc>
        <w:tc>
          <w:tcPr>
            <w:tcW w:w="630" w:type="pct"/>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15</w:t>
            </w:r>
          </w:p>
        </w:tc>
        <w:tc>
          <w:tcPr>
            <w:tcW w:w="3873" w:type="pct"/>
            <w:gridSpan w:val="5"/>
            <w:noWrap w:val="0"/>
            <w:vAlign w:val="center"/>
          </w:tcPr>
          <w:p>
            <w:pPr>
              <w:spacing w:line="400" w:lineRule="exact"/>
              <w:jc w:val="center"/>
              <w:rPr>
                <w:rFonts w:hint="eastAsia" w:ascii="仿宋_GB2312" w:hAnsi="宋体" w:eastAsia="仿宋_GB2312"/>
                <w:sz w:val="28"/>
                <w:szCs w:val="28"/>
              </w:rPr>
            </w:pPr>
            <w:r>
              <w:rPr>
                <w:rFonts w:ascii="Helvetica" w:hAnsi="Helvetica" w:eastAsia="Helvetica" w:cs="Helvetica"/>
                <w:i w:val="0"/>
                <w:iCs w:val="0"/>
                <w:caps w:val="0"/>
                <w:color w:val="333333"/>
                <w:spacing w:val="0"/>
                <w:sz w:val="21"/>
                <w:szCs w:val="21"/>
                <w:shd w:val="clear" w:color="auto" w:fill="FFFFFF"/>
              </w:rPr>
              <w:t>空调系统绝缘故障的排除</w:t>
            </w:r>
          </w:p>
        </w:tc>
        <w:tc>
          <w:tcPr>
            <w:tcW w:w="630" w:type="pct"/>
            <w:noWrap w:val="0"/>
            <w:vAlign w:val="center"/>
          </w:tcPr>
          <w:p>
            <w:pPr>
              <w:spacing w:line="400" w:lineRule="exact"/>
              <w:jc w:val="center"/>
              <w:rPr>
                <w:rFonts w:hint="eastAsia" w:ascii="仿宋_GB2312" w:hAnsi="宋体" w:eastAsia="仿宋_GB2312"/>
                <w:kern w:val="2"/>
                <w:sz w:val="28"/>
                <w:szCs w:val="28"/>
                <w:lang w:val="en-US" w:eastAsia="zh-CN" w:bidi="ar-SA"/>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pct"/>
            <w:noWrap w:val="0"/>
            <w:vAlign w:val="center"/>
          </w:tcPr>
          <w:p>
            <w:pPr>
              <w:spacing w:line="4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16</w:t>
            </w:r>
          </w:p>
        </w:tc>
        <w:tc>
          <w:tcPr>
            <w:tcW w:w="3873" w:type="pct"/>
            <w:gridSpan w:val="5"/>
            <w:noWrap w:val="0"/>
            <w:vAlign w:val="center"/>
          </w:tcPr>
          <w:p>
            <w:pPr>
              <w:spacing w:line="400" w:lineRule="exact"/>
              <w:jc w:val="center"/>
              <w:rPr>
                <w:rFonts w:hint="eastAsia" w:ascii="仿宋_GB2312" w:hAnsi="宋体" w:eastAsia="仿宋_GB2312"/>
                <w:sz w:val="28"/>
                <w:szCs w:val="28"/>
              </w:rPr>
            </w:pPr>
            <w:r>
              <w:rPr>
                <w:rFonts w:ascii="Helvetica" w:hAnsi="Helvetica" w:eastAsia="Helvetica" w:cs="Helvetica"/>
                <w:i w:val="0"/>
                <w:iCs w:val="0"/>
                <w:caps w:val="0"/>
                <w:color w:val="333333"/>
                <w:spacing w:val="0"/>
                <w:sz w:val="21"/>
                <w:szCs w:val="21"/>
                <w:shd w:val="clear" w:color="auto" w:fill="FFFFFF"/>
              </w:rPr>
              <w:t> </w:t>
            </w:r>
            <w:r>
              <w:rPr>
                <w:rFonts w:hint="default" w:ascii="Helvetica" w:hAnsi="Helvetica" w:eastAsia="Helvetica" w:cs="Helvetica"/>
                <w:i w:val="0"/>
                <w:iCs w:val="0"/>
                <w:caps w:val="0"/>
                <w:color w:val="333333"/>
                <w:spacing w:val="0"/>
                <w:sz w:val="21"/>
                <w:szCs w:val="21"/>
                <w:shd w:val="clear" w:color="auto" w:fill="FFFFFF"/>
              </w:rPr>
              <w:t>电动真空泵故障的诊断与排除 </w:t>
            </w:r>
          </w:p>
        </w:tc>
        <w:tc>
          <w:tcPr>
            <w:tcW w:w="630" w:type="pct"/>
            <w:noWrap w:val="0"/>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noWrap w:val="0"/>
            <w:vAlign w:val="center"/>
          </w:tcPr>
          <w:p>
            <w:pPr>
              <w:pStyle w:val="3"/>
              <w:spacing w:before="0" w:after="0" w:line="240" w:lineRule="auto"/>
              <w:rPr>
                <w:rFonts w:hint="eastAsia" w:ascii="仿宋_GB2312" w:hAnsi="宋体"/>
                <w:b w:val="0"/>
              </w:rPr>
            </w:pPr>
            <w:r>
              <w:rPr>
                <w:rFonts w:hint="eastAsia" w:ascii="黑体" w:hAnsi="黑体" w:eastAsia="黑体"/>
                <w:b w:val="0"/>
                <w:sz w:val="30"/>
                <w:szCs w:val="30"/>
              </w:rPr>
              <w:t>六、教学实施建议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noWrap w:val="0"/>
            <w:vAlign w:val="center"/>
          </w:tcPr>
          <w:p>
            <w:pPr>
              <w:numPr>
                <w:ilvl w:val="0"/>
                <w:numId w:val="13"/>
              </w:numPr>
              <w:spacing w:line="360" w:lineRule="auto"/>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教学组织方式方法建议采用行动导向的教学方法。为确保教学安全，提高教学效果，建议采取分组教学的形式（3</w:t>
            </w:r>
            <w:r>
              <w:rPr>
                <w:rFonts w:hint="eastAsia" w:ascii="仿宋_GB2312" w:hAnsi="Times New Roman" w:eastAsia="仿宋_GB2312" w:cs="Times New Roman"/>
                <w:color w:val="000000"/>
                <w:sz w:val="28"/>
                <w:szCs w:val="28"/>
                <w:lang w:val="en-US" w:eastAsia="zh-CN"/>
              </w:rPr>
              <w:t>-</w:t>
            </w:r>
            <w:r>
              <w:rPr>
                <w:rFonts w:hint="eastAsia" w:ascii="仿宋_GB2312" w:hAnsi="Times New Roman" w:eastAsia="仿宋_GB2312" w:cs="Times New Roman"/>
                <w:color w:val="000000"/>
                <w:sz w:val="28"/>
                <w:szCs w:val="28"/>
              </w:rPr>
              <w:t>5人组）；学生在完成工作任务的过程中，教师须给予示范、指导与引导，注重培养学生解决复杂性、关键性和创造性问题的能力。</w:t>
            </w:r>
          </w:p>
          <w:p>
            <w:pPr>
              <w:numPr>
                <w:ilvl w:val="0"/>
                <w:numId w:val="13"/>
              </w:numPr>
              <w:spacing w:line="360" w:lineRule="auto"/>
              <w:ind w:left="0" w:leftChars="0"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教学资源配备建议</w:t>
            </w:r>
          </w:p>
          <w:p>
            <w:pPr>
              <w:numPr>
                <w:ilvl w:val="0"/>
                <w:numId w:val="0"/>
              </w:numPr>
              <w:spacing w:line="360" w:lineRule="auto"/>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lang w:eastAsia="zh-CN"/>
              </w:rPr>
              <w:t>（</w:t>
            </w:r>
            <w:r>
              <w:rPr>
                <w:rFonts w:hint="eastAsia" w:ascii="仿宋_GB2312" w:hAnsi="Times New Roman" w:eastAsia="仿宋_GB2312" w:cs="Times New Roman"/>
                <w:color w:val="000000"/>
                <w:sz w:val="28"/>
                <w:szCs w:val="28"/>
                <w:lang w:val="en-US" w:eastAsia="zh-CN"/>
              </w:rPr>
              <w:t>1</w:t>
            </w:r>
            <w:r>
              <w:rPr>
                <w:rFonts w:hint="eastAsia" w:ascii="仿宋_GB2312" w:hAnsi="Times New Roman" w:eastAsia="仿宋_GB2312" w:cs="Times New Roman"/>
                <w:color w:val="000000"/>
                <w:sz w:val="28"/>
                <w:szCs w:val="28"/>
                <w:lang w:eastAsia="zh-CN"/>
              </w:rPr>
              <w:t>）</w:t>
            </w:r>
            <w:r>
              <w:rPr>
                <w:rFonts w:hint="eastAsia" w:ascii="仿宋_GB2312" w:hAnsi="Times New Roman" w:eastAsia="仿宋_GB2312" w:cs="Times New Roman"/>
                <w:color w:val="000000"/>
                <w:sz w:val="28"/>
                <w:szCs w:val="28"/>
              </w:rPr>
              <w:t>教学场地</w:t>
            </w:r>
          </w:p>
          <w:p>
            <w:pPr>
              <w:numPr>
                <w:ilvl w:val="0"/>
                <w:numId w:val="0"/>
              </w:numPr>
              <w:spacing w:line="360" w:lineRule="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 xml:space="preserve">   一体化学习工作站须具备良好的安全、照明和通风条件，可分为集中理论教学区、分组实践教学区、信息检索区、工具存放区和成果展示区，并配备相应的多媒体教学设备、压缩空气供给系统等设施，面积以至少同时容纳25人开展教学活动为宜。</w:t>
            </w:r>
          </w:p>
          <w:p>
            <w:pPr>
              <w:numPr>
                <w:ilvl w:val="0"/>
                <w:numId w:val="0"/>
              </w:numPr>
              <w:spacing w:line="360" w:lineRule="auto"/>
              <w:ind w:firstLine="560" w:firstLineChars="200"/>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工具、材料、设备按组配置：通用工量具、放电工具、绝缘工具套装、汽车故障诊断仪、示波器、绝缘测试仪、废液废品回收装置、举升机、防护用品、维修包、油（液／脂）料、清洗剂、零配件、整车等。</w:t>
            </w:r>
          </w:p>
          <w:p>
            <w:pPr>
              <w:spacing w:line="440" w:lineRule="exact"/>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lang w:val="en-US" w:eastAsia="zh-CN"/>
              </w:rPr>
              <w:t>(3）教学资料以工作页为主，配备教学参考书、维修工单、问诊单、技术通报、维修案例、维修手册等教学资料。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noWrap w:val="0"/>
            <w:vAlign w:val="center"/>
          </w:tcPr>
          <w:p>
            <w:pPr>
              <w:pStyle w:val="3"/>
              <w:spacing w:before="0" w:after="0" w:line="240" w:lineRule="auto"/>
              <w:rPr>
                <w:rFonts w:hint="eastAsia" w:ascii="仿宋_GB2312" w:hAnsi="宋体"/>
                <w:b w:val="0"/>
              </w:rPr>
            </w:pPr>
            <w:r>
              <w:rPr>
                <w:rFonts w:hint="eastAsia" w:ascii="黑体" w:hAnsi="黑体" w:eastAsia="黑体"/>
                <w:b w:val="0"/>
                <w:sz w:val="30"/>
                <w:szCs w:val="30"/>
              </w:rPr>
              <w:t>七、教学考核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noWrap w:val="0"/>
            <w:vAlign w:val="center"/>
          </w:tcPr>
          <w:p>
            <w:pPr>
              <w:spacing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采用过程性考核与终结性考核相结合的方式。</w:t>
            </w:r>
          </w:p>
          <w:p>
            <w:pPr>
              <w:numPr>
                <w:ilvl w:val="0"/>
                <w:numId w:val="0"/>
              </w:numPr>
              <w:spacing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过程性考核采用自我评价、小组评价和教师评价相结合的方式进行考核，教师要善于观察学生的学习过程，参照学生自我评价、小组评价进行总评并提出改进建议。</w:t>
            </w:r>
          </w:p>
          <w:p>
            <w:pPr>
              <w:numPr>
                <w:ilvl w:val="0"/>
                <w:numId w:val="0"/>
              </w:numPr>
              <w:spacing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(1）课堂考核：考核出勤、学习态度、课堂纪律、小组合作与展示等情况。</w:t>
            </w:r>
          </w:p>
          <w:p>
            <w:pPr>
              <w:numPr>
                <w:ilvl w:val="0"/>
                <w:numId w:val="0"/>
              </w:numPr>
              <w:spacing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(2）作业考核：考核工作页的完成、课后练习等情况。</w:t>
            </w:r>
          </w:p>
          <w:p>
            <w:pPr>
              <w:numPr>
                <w:ilvl w:val="0"/>
                <w:numId w:val="0"/>
              </w:numPr>
              <w:spacing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(3）阶段考核：可视情采用纸笔测试、实操测试、口述测试、在线测试等形式。</w:t>
            </w:r>
          </w:p>
          <w:p>
            <w:pPr>
              <w:numPr>
                <w:ilvl w:val="0"/>
                <w:numId w:val="0"/>
              </w:numPr>
              <w:spacing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2．终结性考核</w:t>
            </w:r>
          </w:p>
          <w:p>
            <w:pPr>
              <w:numPr>
                <w:ilvl w:val="0"/>
                <w:numId w:val="0"/>
              </w:numPr>
              <w:spacing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学生根据任务情境中的要求，制定故障诊断与排除的作业方案。按照作业规范，在规定时间内完成具体车型新能源汽车高压系统故障诊断作业任务，维修后的车辆性能要求达到行业规定的维修技术标准。</w:t>
            </w:r>
          </w:p>
          <w:p>
            <w:pPr>
              <w:numPr>
                <w:ilvl w:val="0"/>
                <w:numId w:val="0"/>
              </w:num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3.课程成绩计算</w:t>
            </w:r>
          </w:p>
          <w:p>
            <w:pPr>
              <w:spacing w:line="44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课程成绩＝学习任务成绩×</w:t>
            </w:r>
            <w:r>
              <w:rPr>
                <w:rFonts w:hint="eastAsia" w:ascii="仿宋_GB2312" w:eastAsia="仿宋_GB2312"/>
                <w:color w:val="000000"/>
                <w:sz w:val="28"/>
                <w:szCs w:val="28"/>
              </w:rPr>
              <w:t>60</w:t>
            </w:r>
            <w:r>
              <w:rPr>
                <w:rFonts w:hint="eastAsia" w:ascii="仿宋_GB2312" w:hAnsi="宋体" w:eastAsia="仿宋_GB2312"/>
                <w:color w:val="000000"/>
                <w:sz w:val="28"/>
                <w:szCs w:val="28"/>
              </w:rPr>
              <w:t>%＋课程终极考核</w:t>
            </w:r>
            <w:r>
              <w:rPr>
                <w:rFonts w:hint="eastAsia" w:ascii="仿宋_GB2312" w:hAnsi="宋体" w:eastAsia="仿宋_GB2312"/>
                <w:sz w:val="28"/>
                <w:szCs w:val="28"/>
              </w:rPr>
              <w:t>×</w:t>
            </w:r>
            <w:r>
              <w:rPr>
                <w:rFonts w:hint="eastAsia" w:ascii="仿宋_GB2312" w:eastAsia="仿宋_GB2312"/>
                <w:color w:val="000000"/>
                <w:sz w:val="28"/>
                <w:szCs w:val="28"/>
              </w:rPr>
              <w:t>40</w:t>
            </w:r>
            <w:r>
              <w:rPr>
                <w:rFonts w:hint="eastAsia" w:ascii="仿宋_GB2312" w:hAnsi="宋体" w:eastAsia="仿宋_GB2312"/>
                <w:color w:val="000000"/>
                <w:sz w:val="28"/>
                <w:szCs w:val="28"/>
              </w:rPr>
              <w:t>%。</w:t>
            </w:r>
          </w:p>
        </w:tc>
      </w:tr>
    </w:tbl>
    <w:p>
      <w:pPr>
        <w:rPr>
          <w:rFonts w:hint="eastAsia" w:ascii="Calibri" w:hAnsi="Calibri"/>
        </w:rPr>
      </w:pPr>
    </w:p>
    <w:p/>
    <w:sectPr>
      <w:head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hint="eastAsia"/>
        <w:kern w:val="0"/>
        <w:u w:val="single"/>
      </w:rPr>
    </w:pPr>
    <w:r>
      <w:rPr>
        <w:rFonts w:hint="eastAsia"/>
        <w:kern w:val="0"/>
        <w:u w:val="single"/>
      </w:rPr>
      <w:drawing>
        <wp:inline distT="0" distB="0" distL="114300" distR="114300">
          <wp:extent cx="2673985" cy="551180"/>
          <wp:effectExtent l="0" t="0" r="12065" b="1270"/>
          <wp:docPr id="10" name="图片 8" descr="2019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2019新"/>
                  <pic:cNvPicPr>
                    <a:picLocks noChangeAspect="1"/>
                  </pic:cNvPicPr>
                </pic:nvPicPr>
                <pic:blipFill>
                  <a:blip r:embed="rId1"/>
                  <a:stretch>
                    <a:fillRect/>
                  </a:stretch>
                </pic:blipFill>
                <pic:spPr>
                  <a:xfrm>
                    <a:off x="0" y="0"/>
                    <a:ext cx="2673985" cy="551180"/>
                  </a:xfrm>
                  <a:prstGeom prst="rect">
                    <a:avLst/>
                  </a:prstGeom>
                  <a:noFill/>
                  <a:ln>
                    <a:noFill/>
                  </a:ln>
                </pic:spPr>
              </pic:pic>
            </a:graphicData>
          </a:graphic>
        </wp:inline>
      </w:drawing>
    </w:r>
    <w:r>
      <w:rPr>
        <w:rFonts w:hint="eastAsia"/>
        <w:kern w:val="0"/>
        <w:u w:val="single"/>
      </w:rPr>
      <w:t xml:space="preserve">                            教学日常工作材料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hint="eastAsia"/>
        <w:kern w:val="0"/>
        <w:u w:val="single"/>
      </w:rPr>
    </w:pPr>
    <w:r>
      <w:rPr>
        <w:rFonts w:hint="eastAsia"/>
        <w:kern w:val="0"/>
        <w:u w:val="single"/>
      </w:rPr>
      <w:drawing>
        <wp:inline distT="0" distB="0" distL="114300" distR="114300">
          <wp:extent cx="2673985" cy="551180"/>
          <wp:effectExtent l="0" t="0" r="12065" b="1270"/>
          <wp:docPr id="11" name="图片 9" descr="2019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2019新"/>
                  <pic:cNvPicPr>
                    <a:picLocks noChangeAspect="1"/>
                  </pic:cNvPicPr>
                </pic:nvPicPr>
                <pic:blipFill>
                  <a:blip r:embed="rId1"/>
                  <a:stretch>
                    <a:fillRect/>
                  </a:stretch>
                </pic:blipFill>
                <pic:spPr>
                  <a:xfrm>
                    <a:off x="0" y="0"/>
                    <a:ext cx="2673985" cy="551180"/>
                  </a:xfrm>
                  <a:prstGeom prst="rect">
                    <a:avLst/>
                  </a:prstGeom>
                  <a:noFill/>
                  <a:ln>
                    <a:noFill/>
                  </a:ln>
                </pic:spPr>
              </pic:pic>
            </a:graphicData>
          </a:graphic>
        </wp:inline>
      </w:drawing>
    </w:r>
    <w:r>
      <w:rPr>
        <w:rFonts w:hint="eastAsia"/>
        <w:kern w:val="0"/>
        <w:u w:val="single"/>
      </w:rPr>
      <w:t xml:space="preserve">                    教学日常工作材料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hint="eastAsia"/>
        <w:kern w:val="0"/>
        <w:u w:val="single"/>
      </w:rPr>
    </w:pPr>
    <w:r>
      <w:rPr>
        <w:rFonts w:hint="eastAsia"/>
        <w:kern w:val="0"/>
        <w:u w:val="single"/>
      </w:rPr>
      <w:drawing>
        <wp:inline distT="0" distB="0" distL="114300" distR="114300">
          <wp:extent cx="2673985" cy="551180"/>
          <wp:effectExtent l="0" t="0" r="12065" b="1270"/>
          <wp:docPr id="9" name="图片 10" descr="2019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2019新"/>
                  <pic:cNvPicPr>
                    <a:picLocks noChangeAspect="1"/>
                  </pic:cNvPicPr>
                </pic:nvPicPr>
                <pic:blipFill>
                  <a:blip r:embed="rId1"/>
                  <a:stretch>
                    <a:fillRect/>
                  </a:stretch>
                </pic:blipFill>
                <pic:spPr>
                  <a:xfrm>
                    <a:off x="0" y="0"/>
                    <a:ext cx="2673985" cy="551180"/>
                  </a:xfrm>
                  <a:prstGeom prst="rect">
                    <a:avLst/>
                  </a:prstGeom>
                  <a:noFill/>
                  <a:ln>
                    <a:noFill/>
                  </a:ln>
                </pic:spPr>
              </pic:pic>
            </a:graphicData>
          </a:graphic>
        </wp:inline>
      </w:drawing>
    </w:r>
    <w:r>
      <w:rPr>
        <w:rFonts w:hint="eastAsia"/>
        <w:kern w:val="0"/>
        <w:u w:val="single"/>
      </w:rPr>
      <w:t xml:space="preserve">                         教学日常工作材料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kern w:val="0"/>
        <w:u w:val="single"/>
      </w:rPr>
      <w:drawing>
        <wp:inline distT="0" distB="0" distL="114300" distR="114300">
          <wp:extent cx="2673985" cy="551180"/>
          <wp:effectExtent l="0" t="0" r="12065" b="1270"/>
          <wp:docPr id="1" name="图片 1" descr="2019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新"/>
                  <pic:cNvPicPr>
                    <a:picLocks noChangeAspect="1"/>
                  </pic:cNvPicPr>
                </pic:nvPicPr>
                <pic:blipFill>
                  <a:blip r:embed="rId1"/>
                  <a:stretch>
                    <a:fillRect/>
                  </a:stretch>
                </pic:blipFill>
                <pic:spPr>
                  <a:xfrm>
                    <a:off x="0" y="0"/>
                    <a:ext cx="2673985" cy="551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57BA"/>
    <w:multiLevelType w:val="singleLevel"/>
    <w:tmpl w:val="88F557BA"/>
    <w:lvl w:ilvl="0" w:tentative="0">
      <w:start w:val="1"/>
      <w:numFmt w:val="decimal"/>
      <w:suff w:val="nothing"/>
      <w:lvlText w:val="%1．"/>
      <w:lvlJc w:val="left"/>
    </w:lvl>
  </w:abstractNum>
  <w:abstractNum w:abstractNumId="1">
    <w:nsid w:val="8A75BD03"/>
    <w:multiLevelType w:val="singleLevel"/>
    <w:tmpl w:val="8A75BD03"/>
    <w:lvl w:ilvl="0" w:tentative="0">
      <w:start w:val="1"/>
      <w:numFmt w:val="decimal"/>
      <w:suff w:val="nothing"/>
      <w:lvlText w:val="(%1）"/>
      <w:lvlJc w:val="left"/>
    </w:lvl>
  </w:abstractNum>
  <w:abstractNum w:abstractNumId="2">
    <w:nsid w:val="9494CF0D"/>
    <w:multiLevelType w:val="singleLevel"/>
    <w:tmpl w:val="9494CF0D"/>
    <w:lvl w:ilvl="0" w:tentative="0">
      <w:start w:val="1"/>
      <w:numFmt w:val="decimal"/>
      <w:suff w:val="nothing"/>
      <w:lvlText w:val="%1．"/>
      <w:lvlJc w:val="left"/>
    </w:lvl>
  </w:abstractNum>
  <w:abstractNum w:abstractNumId="3">
    <w:nsid w:val="AD1F2FC3"/>
    <w:multiLevelType w:val="singleLevel"/>
    <w:tmpl w:val="AD1F2FC3"/>
    <w:lvl w:ilvl="0" w:tentative="0">
      <w:start w:val="2"/>
      <w:numFmt w:val="chineseCounting"/>
      <w:suff w:val="nothing"/>
      <w:lvlText w:val="%1、"/>
      <w:lvlJc w:val="left"/>
      <w:rPr>
        <w:rFonts w:hint="eastAsia"/>
      </w:rPr>
    </w:lvl>
  </w:abstractNum>
  <w:abstractNum w:abstractNumId="4">
    <w:nsid w:val="C97B623C"/>
    <w:multiLevelType w:val="singleLevel"/>
    <w:tmpl w:val="C97B623C"/>
    <w:lvl w:ilvl="0" w:tentative="0">
      <w:start w:val="1"/>
      <w:numFmt w:val="decimal"/>
      <w:suff w:val="nothing"/>
      <w:lvlText w:val="%1．"/>
      <w:lvlJc w:val="left"/>
    </w:lvl>
  </w:abstractNum>
  <w:abstractNum w:abstractNumId="5">
    <w:nsid w:val="DBB2502C"/>
    <w:multiLevelType w:val="singleLevel"/>
    <w:tmpl w:val="DBB2502C"/>
    <w:lvl w:ilvl="0" w:tentative="0">
      <w:start w:val="1"/>
      <w:numFmt w:val="decimal"/>
      <w:suff w:val="nothing"/>
      <w:lvlText w:val="%1．"/>
      <w:lvlJc w:val="left"/>
    </w:lvl>
  </w:abstractNum>
  <w:abstractNum w:abstractNumId="6">
    <w:nsid w:val="FFC31F8D"/>
    <w:multiLevelType w:val="singleLevel"/>
    <w:tmpl w:val="FFC31F8D"/>
    <w:lvl w:ilvl="0" w:tentative="0">
      <w:start w:val="1"/>
      <w:numFmt w:val="decimal"/>
      <w:suff w:val="nothing"/>
      <w:lvlText w:val="%1．"/>
      <w:lvlJc w:val="left"/>
    </w:lvl>
  </w:abstractNum>
  <w:abstractNum w:abstractNumId="7">
    <w:nsid w:val="165A6CEF"/>
    <w:multiLevelType w:val="singleLevel"/>
    <w:tmpl w:val="165A6CEF"/>
    <w:lvl w:ilvl="0" w:tentative="0">
      <w:start w:val="1"/>
      <w:numFmt w:val="decimal"/>
      <w:suff w:val="nothing"/>
      <w:lvlText w:val="%1．"/>
      <w:lvlJc w:val="left"/>
    </w:lvl>
  </w:abstractNum>
  <w:abstractNum w:abstractNumId="8">
    <w:nsid w:val="2D99005F"/>
    <w:multiLevelType w:val="singleLevel"/>
    <w:tmpl w:val="2D99005F"/>
    <w:lvl w:ilvl="0" w:tentative="0">
      <w:start w:val="1"/>
      <w:numFmt w:val="decimal"/>
      <w:suff w:val="nothing"/>
      <w:lvlText w:val="%1．"/>
      <w:lvlJc w:val="left"/>
    </w:lvl>
  </w:abstractNum>
  <w:abstractNum w:abstractNumId="9">
    <w:nsid w:val="40640866"/>
    <w:multiLevelType w:val="singleLevel"/>
    <w:tmpl w:val="40640866"/>
    <w:lvl w:ilvl="0" w:tentative="0">
      <w:start w:val="1"/>
      <w:numFmt w:val="decimal"/>
      <w:suff w:val="nothing"/>
      <w:lvlText w:val="%1．"/>
      <w:lvlJc w:val="left"/>
    </w:lvl>
  </w:abstractNum>
  <w:abstractNum w:abstractNumId="10">
    <w:nsid w:val="4825B738"/>
    <w:multiLevelType w:val="singleLevel"/>
    <w:tmpl w:val="4825B738"/>
    <w:lvl w:ilvl="0" w:tentative="0">
      <w:start w:val="3"/>
      <w:numFmt w:val="chineseCounting"/>
      <w:suff w:val="nothing"/>
      <w:lvlText w:val="（%1）"/>
      <w:lvlJc w:val="left"/>
      <w:rPr>
        <w:rFonts w:hint="eastAsia"/>
      </w:rPr>
    </w:lvl>
  </w:abstractNum>
  <w:abstractNum w:abstractNumId="11">
    <w:nsid w:val="663888F7"/>
    <w:multiLevelType w:val="singleLevel"/>
    <w:tmpl w:val="663888F7"/>
    <w:lvl w:ilvl="0" w:tentative="0">
      <w:start w:val="1"/>
      <w:numFmt w:val="decimal"/>
      <w:suff w:val="nothing"/>
      <w:lvlText w:val="%1．"/>
      <w:lvlJc w:val="left"/>
    </w:lvl>
  </w:abstractNum>
  <w:abstractNum w:abstractNumId="12">
    <w:nsid w:val="6E11028B"/>
    <w:multiLevelType w:val="singleLevel"/>
    <w:tmpl w:val="6E11028B"/>
    <w:lvl w:ilvl="0" w:tentative="0">
      <w:start w:val="1"/>
      <w:numFmt w:val="decimal"/>
      <w:suff w:val="nothing"/>
      <w:lvlText w:val="(%1）"/>
      <w:lvlJc w:val="left"/>
    </w:lvl>
  </w:abstractNum>
  <w:num w:numId="1">
    <w:abstractNumId w:val="6"/>
  </w:num>
  <w:num w:numId="2">
    <w:abstractNumId w:val="2"/>
  </w:num>
  <w:num w:numId="3">
    <w:abstractNumId w:val="9"/>
  </w:num>
  <w:num w:numId="4">
    <w:abstractNumId w:val="5"/>
  </w:num>
  <w:num w:numId="5">
    <w:abstractNumId w:val="1"/>
  </w:num>
  <w:num w:numId="6">
    <w:abstractNumId w:val="11"/>
  </w:num>
  <w:num w:numId="7">
    <w:abstractNumId w:val="12"/>
  </w:num>
  <w:num w:numId="8">
    <w:abstractNumId w:val="3"/>
  </w:num>
  <w:num w:numId="9">
    <w:abstractNumId w:val="10"/>
  </w:num>
  <w:num w:numId="10">
    <w:abstractNumId w:val="8"/>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ODk1OGQ3N2ZlODZlNWFkYWYzNGQ5MmNmNjYyNDkifQ=="/>
  </w:docVars>
  <w:rsids>
    <w:rsidRoot w:val="00000000"/>
    <w:rsid w:val="2145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widowControl w:val="0"/>
      <w:spacing w:before="240" w:after="240" w:line="578" w:lineRule="auto"/>
      <w:outlineLvl w:val="0"/>
    </w:pPr>
    <w:rPr>
      <w:rFonts w:eastAsia="黑体"/>
      <w:bCs/>
      <w:kern w:val="44"/>
      <w:sz w:val="30"/>
      <w:szCs w:val="44"/>
    </w:rPr>
  </w:style>
  <w:style w:type="paragraph" w:styleId="3">
    <w:name w:val="heading 2"/>
    <w:next w:val="1"/>
    <w:qFormat/>
    <w:uiPriority w:val="0"/>
    <w:pPr>
      <w:widowControl w:val="0"/>
      <w:spacing w:before="240" w:after="240" w:line="360" w:lineRule="auto"/>
      <w:jc w:val="both"/>
      <w:outlineLvl w:val="1"/>
    </w:pPr>
    <w:rPr>
      <w:rFonts w:ascii="Times New Roman" w:hAnsi="Times New Roman" w:eastAsia="仿宋_GB2312" w:cs="Times New Roman"/>
      <w:b/>
      <w:bCs/>
      <w:kern w:val="2"/>
      <w:sz w:val="28"/>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cs="宋体"/>
      <w:color w:val="000000"/>
      <w:kern w:val="0"/>
      <w:sz w:val="24"/>
      <w:szCs w:val="24"/>
      <w:lang w:bidi="ar-SA"/>
    </w:rPr>
  </w:style>
  <w:style w:type="character" w:styleId="9">
    <w:name w:val="page number"/>
    <w:qFormat/>
    <w:uiPriority w:val="0"/>
    <w:rPr>
      <w:rFonts w:cs="Times New Roman"/>
      <w:lang w:bidi="ar-SA"/>
    </w:rPr>
  </w:style>
  <w:style w:type="character" w:styleId="10">
    <w:name w:val="Emphasis"/>
    <w:qFormat/>
    <w:uiPriority w:val="0"/>
    <w:rPr>
      <w:i/>
      <w:iCs/>
    </w:rPr>
  </w:style>
  <w:style w:type="paragraph" w:customStyle="1" w:styleId="11">
    <w:name w:val="正文——无编号"/>
    <w:basedOn w:val="1"/>
    <w:uiPriority w:val="0"/>
    <w:pPr>
      <w:spacing w:line="440" w:lineRule="exact"/>
      <w:ind w:firstLine="480" w:firstLineChars="200"/>
    </w:pPr>
    <w:rPr>
      <w:rFonts w:cs="宋体"/>
      <w:sz w:val="24"/>
      <w:szCs w:val="20"/>
    </w:rPr>
  </w:style>
  <w:style w:type="paragraph" w:customStyle="1" w:styleId="12">
    <w:name w:val="WPSOffice手动目录 1"/>
    <w:qFormat/>
    <w:uiPriority w:val="0"/>
    <w:pPr>
      <w:ind w:leftChars="0"/>
    </w:pPr>
    <w:rPr>
      <w:rFonts w:ascii="Times New Roman" w:hAnsi="Times New Roman" w:eastAsia="黑体" w:cs="Times New Roman"/>
      <w:sz w:val="20"/>
      <w:szCs w:val="20"/>
    </w:rPr>
  </w:style>
  <w:style w:type="paragraph" w:customStyle="1" w:styleId="13">
    <w:name w:val="WPSOffice手动目录 2"/>
    <w:qFormat/>
    <w:uiPriority w:val="0"/>
    <w:pPr>
      <w:ind w:leftChars="200"/>
    </w:pPr>
    <w:rPr>
      <w:rFonts w:ascii="Times New Roman" w:hAnsi="Times New Roman" w:eastAsia="黑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2022-06-30T10:05:42Z</dcterms:created>
  <dc:creator>Administrator</dc:creator>
  <cp:lastModifiedBy>Administrator</cp:lastModifiedBy>
  <dcterms:modified xsi:type="dcterms:W3CDTF">2022-06-30T10:23:45Z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E25EEA210AA346A48B6B570309CC238F</vt:lpwstr>
  </property>
</Properties>
</file>